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75" w:rsidRDefault="00813375" w:rsidP="00813375">
      <w:pPr>
        <w:jc w:val="center"/>
        <w:rPr>
          <w:rFonts w:ascii="Tw Cen MT" w:hAnsi="Tw Cen MT"/>
          <w:b/>
          <w:sz w:val="28"/>
          <w:szCs w:val="28"/>
        </w:rPr>
      </w:pPr>
      <w:r w:rsidRPr="00503276">
        <w:rPr>
          <w:b/>
          <w:noProof/>
          <w:sz w:val="28"/>
          <w:szCs w:val="28"/>
        </w:rPr>
        <w:drawing>
          <wp:anchor distT="0" distB="0" distL="114300" distR="114300" simplePos="0" relativeHeight="251659264" behindDoc="0" locked="0" layoutInCell="1" allowOverlap="1" wp14:anchorId="6672B087" wp14:editId="58EB1F08">
            <wp:simplePos x="0" y="0"/>
            <wp:positionH relativeFrom="column">
              <wp:posOffset>-114300</wp:posOffset>
            </wp:positionH>
            <wp:positionV relativeFrom="paragraph">
              <wp:posOffset>-228600</wp:posOffset>
            </wp:positionV>
            <wp:extent cx="2958465" cy="535305"/>
            <wp:effectExtent l="0" t="0" r="0" b="0"/>
            <wp:wrapTight wrapText="bothSides">
              <wp:wrapPolygon edited="0">
                <wp:start x="0" y="0"/>
                <wp:lineTo x="0" y="20498"/>
                <wp:lineTo x="21326" y="20498"/>
                <wp:lineTo x="21326" y="0"/>
                <wp:lineTo x="0" y="0"/>
              </wp:wrapPolygon>
            </wp:wrapTight>
            <wp:docPr id="1" name="Picture 1" descr="cetOFSmr1 HD:Users:cue:Desktop:Images:CE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OFSmr1 HD:Users:cue:Desktop:Images:CEH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BF6">
        <w:rPr>
          <w:rFonts w:ascii="Tw Cen MT" w:hAnsi="Tw Cen MT"/>
          <w:b/>
          <w:sz w:val="28"/>
          <w:szCs w:val="28"/>
        </w:rPr>
        <w:t xml:space="preserve"> </w:t>
      </w:r>
    </w:p>
    <w:p w:rsidR="00813375" w:rsidRDefault="00813375" w:rsidP="00982BF6">
      <w:pPr>
        <w:rPr>
          <w:rFonts w:ascii="Tw Cen MT" w:hAnsi="Tw Cen MT"/>
          <w:b/>
          <w:sz w:val="28"/>
          <w:szCs w:val="28"/>
        </w:rPr>
      </w:pPr>
    </w:p>
    <w:p w:rsidR="00813375" w:rsidRDefault="00813375" w:rsidP="00813375">
      <w:pPr>
        <w:jc w:val="center"/>
        <w:rPr>
          <w:rFonts w:ascii="Tw Cen MT" w:hAnsi="Tw Cen MT"/>
          <w:b/>
          <w:sz w:val="28"/>
          <w:szCs w:val="28"/>
        </w:rPr>
      </w:pPr>
      <w:r>
        <w:rPr>
          <w:rFonts w:ascii="Tw Cen MT" w:hAnsi="Tw Cen MT"/>
          <w:b/>
          <w:sz w:val="28"/>
          <w:szCs w:val="28"/>
        </w:rPr>
        <w:t xml:space="preserve">Informal </w:t>
      </w:r>
      <w:r w:rsidRPr="00503276">
        <w:rPr>
          <w:rFonts w:ascii="Tw Cen MT" w:hAnsi="Tw Cen MT"/>
          <w:b/>
          <w:sz w:val="28"/>
          <w:szCs w:val="28"/>
        </w:rPr>
        <w:t>Walkthrough Form</w:t>
      </w:r>
    </w:p>
    <w:tbl>
      <w:tblPr>
        <w:tblStyle w:val="TableGrid"/>
        <w:tblW w:w="0" w:type="auto"/>
        <w:tblLook w:val="04A0" w:firstRow="1" w:lastRow="0" w:firstColumn="1" w:lastColumn="0" w:noHBand="0" w:noVBand="1"/>
      </w:tblPr>
      <w:tblGrid>
        <w:gridCol w:w="2754"/>
        <w:gridCol w:w="2754"/>
        <w:gridCol w:w="5508"/>
      </w:tblGrid>
      <w:tr w:rsidR="00425A97" w:rsidTr="00694E82">
        <w:tc>
          <w:tcPr>
            <w:tcW w:w="5508" w:type="dxa"/>
            <w:gridSpan w:val="2"/>
            <w:tcBorders>
              <w:top w:val="single" w:sz="8" w:space="0" w:color="auto"/>
              <w:left w:val="single" w:sz="8" w:space="0" w:color="auto"/>
              <w:bottom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School:</w:t>
            </w:r>
            <w:r>
              <w:rPr>
                <w:rFonts w:ascii="Tw Cen MT" w:hAnsi="Tw Cen MT"/>
                <w:sz w:val="22"/>
                <w:szCs w:val="22"/>
              </w:rPr>
              <w:t xml:space="preserve"> </w:t>
            </w:r>
          </w:p>
        </w:tc>
        <w:tc>
          <w:tcPr>
            <w:tcW w:w="5508" w:type="dxa"/>
            <w:tcBorders>
              <w:top w:val="single" w:sz="8" w:space="0" w:color="auto"/>
              <w:left w:val="single" w:sz="8" w:space="0" w:color="auto"/>
              <w:bottom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Date:</w:t>
            </w:r>
            <w:r w:rsidRPr="00503276">
              <w:rPr>
                <w:rFonts w:ascii="Tw Cen MT" w:hAnsi="Tw Cen MT"/>
                <w:sz w:val="22"/>
                <w:szCs w:val="22"/>
              </w:rPr>
              <w:t xml:space="preserve"> </w:t>
            </w:r>
          </w:p>
        </w:tc>
      </w:tr>
      <w:tr w:rsidR="00425A97" w:rsidTr="00694E82">
        <w:tc>
          <w:tcPr>
            <w:tcW w:w="5508" w:type="dxa"/>
            <w:gridSpan w:val="2"/>
            <w:tcBorders>
              <w:top w:val="single" w:sz="8" w:space="0" w:color="auto"/>
              <w:left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Intern’s Name</w:t>
            </w:r>
            <w:r>
              <w:rPr>
                <w:rFonts w:ascii="Tw Cen MT" w:hAnsi="Tw Cen MT"/>
                <w:b/>
                <w:sz w:val="22"/>
                <w:szCs w:val="22"/>
              </w:rPr>
              <w:t>:</w:t>
            </w:r>
            <w:r>
              <w:rPr>
                <w:rFonts w:ascii="Tw Cen MT" w:hAnsi="Tw Cen MT"/>
                <w:sz w:val="22"/>
                <w:szCs w:val="22"/>
              </w:rPr>
              <w:t xml:space="preserve"> </w:t>
            </w:r>
          </w:p>
        </w:tc>
        <w:tc>
          <w:tcPr>
            <w:tcW w:w="5508" w:type="dxa"/>
            <w:tcBorders>
              <w:top w:val="single" w:sz="8" w:space="0" w:color="auto"/>
              <w:left w:val="single" w:sz="8" w:space="0" w:color="auto"/>
              <w:bottom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 xml:space="preserve">Grade/Subject area: </w:t>
            </w:r>
          </w:p>
        </w:tc>
      </w:tr>
      <w:tr w:rsidR="00425A97" w:rsidTr="00694E82">
        <w:tc>
          <w:tcPr>
            <w:tcW w:w="2754" w:type="dxa"/>
            <w:tcBorders>
              <w:top w:val="single" w:sz="8" w:space="0" w:color="auto"/>
              <w:left w:val="single" w:sz="8" w:space="0" w:color="auto"/>
              <w:bottom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Time Begins:</w:t>
            </w:r>
            <w:r>
              <w:rPr>
                <w:rFonts w:ascii="Tw Cen MT" w:hAnsi="Tw Cen MT"/>
                <w:sz w:val="22"/>
                <w:szCs w:val="22"/>
              </w:rPr>
              <w:t xml:space="preserve"> </w:t>
            </w:r>
          </w:p>
        </w:tc>
        <w:tc>
          <w:tcPr>
            <w:tcW w:w="2754" w:type="dxa"/>
            <w:tcBorders>
              <w:top w:val="single" w:sz="8" w:space="0" w:color="auto"/>
              <w:left w:val="single" w:sz="8" w:space="0" w:color="auto"/>
              <w:bottom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Time Ends:</w:t>
            </w:r>
            <w:r>
              <w:rPr>
                <w:rFonts w:ascii="Tw Cen MT" w:hAnsi="Tw Cen MT"/>
                <w:sz w:val="22"/>
                <w:szCs w:val="22"/>
              </w:rPr>
              <w:t xml:space="preserve"> </w:t>
            </w:r>
          </w:p>
        </w:tc>
        <w:tc>
          <w:tcPr>
            <w:tcW w:w="5508" w:type="dxa"/>
            <w:tcBorders>
              <w:top w:val="single" w:sz="8" w:space="0" w:color="auto"/>
              <w:left w:val="single" w:sz="8" w:space="0" w:color="auto"/>
              <w:bottom w:val="single" w:sz="8" w:space="0" w:color="auto"/>
              <w:right w:val="single" w:sz="8" w:space="0" w:color="auto"/>
            </w:tcBorders>
          </w:tcPr>
          <w:p w:rsidR="00425A97" w:rsidRDefault="00425A97" w:rsidP="00694E82">
            <w:pPr>
              <w:rPr>
                <w:rFonts w:ascii="Tw Cen MT" w:hAnsi="Tw Cen MT"/>
                <w:b/>
                <w:sz w:val="28"/>
                <w:szCs w:val="28"/>
              </w:rPr>
            </w:pPr>
            <w:r w:rsidRPr="00425A97">
              <w:rPr>
                <w:rFonts w:ascii="Tw Cen MT" w:hAnsi="Tw Cen MT"/>
                <w:b/>
                <w:sz w:val="22"/>
                <w:szCs w:val="22"/>
              </w:rPr>
              <w:t>Observer Name/Title</w:t>
            </w:r>
            <w:r>
              <w:rPr>
                <w:rFonts w:ascii="Tw Cen MT" w:hAnsi="Tw Cen MT"/>
                <w:b/>
                <w:sz w:val="22"/>
                <w:szCs w:val="22"/>
              </w:rPr>
              <w:t xml:space="preserve">: </w:t>
            </w:r>
          </w:p>
        </w:tc>
      </w:tr>
    </w:tbl>
    <w:p w:rsidR="00813375" w:rsidRDefault="00813375" w:rsidP="00813375">
      <w:pPr>
        <w:rPr>
          <w:rFonts w:ascii="Tw Cen MT" w:hAnsi="Tw Cen MT"/>
          <w:i/>
          <w:sz w:val="22"/>
          <w:szCs w:val="22"/>
        </w:rPr>
      </w:pPr>
      <w:r w:rsidRPr="00CE7D6C">
        <w:rPr>
          <w:rFonts w:ascii="Tw Cen MT" w:hAnsi="Tw Cen MT"/>
          <w:b/>
          <w:i/>
          <w:sz w:val="22"/>
          <w:szCs w:val="22"/>
        </w:rPr>
        <w:t>Directions</w:t>
      </w:r>
      <w:r w:rsidRPr="00503276">
        <w:rPr>
          <w:rFonts w:ascii="Tw Cen MT" w:hAnsi="Tw Cen MT"/>
          <w:i/>
          <w:sz w:val="22"/>
          <w:szCs w:val="22"/>
        </w:rPr>
        <w:t>: This form serves as a reco</w:t>
      </w:r>
      <w:r>
        <w:rPr>
          <w:rFonts w:ascii="Tw Cen MT" w:hAnsi="Tw Cen MT"/>
          <w:i/>
          <w:sz w:val="22"/>
          <w:szCs w:val="22"/>
        </w:rPr>
        <w:t xml:space="preserve">rd of the informal walkthrough. </w:t>
      </w:r>
      <w:r w:rsidRPr="00503276">
        <w:rPr>
          <w:rFonts w:ascii="Tw Cen MT" w:hAnsi="Tw Cen MT"/>
          <w:i/>
          <w:sz w:val="22"/>
          <w:szCs w:val="22"/>
        </w:rPr>
        <w:t xml:space="preserve">The </w:t>
      </w:r>
      <w:r>
        <w:rPr>
          <w:rFonts w:ascii="Tw Cen MT" w:hAnsi="Tw Cen MT"/>
          <w:i/>
          <w:sz w:val="22"/>
          <w:szCs w:val="22"/>
        </w:rPr>
        <w:t>observer</w:t>
      </w:r>
      <w:r w:rsidRPr="00503276">
        <w:rPr>
          <w:rFonts w:ascii="Tw Cen MT" w:hAnsi="Tw Cen MT"/>
          <w:i/>
          <w:sz w:val="22"/>
          <w:szCs w:val="22"/>
        </w:rPr>
        <w:t xml:space="preserve"> will likely not observe all the teaching elements listed below in any one informal observation. The data gathered in walkthrough will be used to inform the summative assessment of the intern at 15 weeks. </w:t>
      </w:r>
      <w:r>
        <w:rPr>
          <w:rFonts w:ascii="Tw Cen MT" w:hAnsi="Tw Cen MT"/>
          <w:i/>
          <w:sz w:val="22"/>
          <w:szCs w:val="22"/>
        </w:rPr>
        <w:t xml:space="preserve">The informal walkthrough is only to be used if the supervisor has completed </w:t>
      </w:r>
      <w:r w:rsidR="00B32B34">
        <w:rPr>
          <w:rFonts w:ascii="Tw Cen MT" w:hAnsi="Tw Cen MT"/>
          <w:i/>
          <w:sz w:val="22"/>
          <w:szCs w:val="22"/>
        </w:rPr>
        <w:t xml:space="preserve">at least </w:t>
      </w:r>
      <w:r>
        <w:rPr>
          <w:rFonts w:ascii="Tw Cen MT" w:hAnsi="Tw Cen MT"/>
          <w:i/>
          <w:sz w:val="22"/>
          <w:szCs w:val="22"/>
        </w:rPr>
        <w:t xml:space="preserve">two passing observations in the first or second half of the semester. </w:t>
      </w:r>
    </w:p>
    <w:p w:rsidR="00813375" w:rsidRPr="00503276" w:rsidRDefault="00813375" w:rsidP="00813375">
      <w:pPr>
        <w:rPr>
          <w:rFonts w:ascii="Tw Cen MT" w:hAnsi="Tw Cen MT"/>
          <w:i/>
          <w:sz w:val="22"/>
          <w:szCs w:val="22"/>
        </w:rPr>
      </w:pPr>
    </w:p>
    <w:p w:rsidR="00813375" w:rsidRPr="003B5EDD" w:rsidRDefault="00813375" w:rsidP="00813375">
      <w:pPr>
        <w:rPr>
          <w:rFonts w:ascii="Tw Cen MT" w:hAnsi="Tw Cen MT"/>
          <w:i/>
        </w:rPr>
      </w:pPr>
      <w:r w:rsidRPr="003B5EDD">
        <w:rPr>
          <w:rFonts w:ascii="Tw Cen MT" w:hAnsi="Tw Cen MT"/>
          <w:i/>
        </w:rPr>
        <w:t xml:space="preserve">In the </w:t>
      </w:r>
      <w:r w:rsidR="00982BF6">
        <w:rPr>
          <w:rFonts w:ascii="Tw Cen MT" w:hAnsi="Tw Cen MT"/>
          <w:i/>
        </w:rPr>
        <w:t xml:space="preserve">green </w:t>
      </w:r>
      <w:r w:rsidRPr="003B5EDD">
        <w:rPr>
          <w:rFonts w:ascii="Tw Cen MT" w:hAnsi="Tw Cen MT"/>
          <w:i/>
        </w:rPr>
        <w:t>box next to each</w:t>
      </w:r>
      <w:r>
        <w:rPr>
          <w:rFonts w:ascii="Tw Cen MT" w:hAnsi="Tw Cen MT"/>
          <w:i/>
        </w:rPr>
        <w:t xml:space="preserve"> General Feature, indicate +, -</w:t>
      </w:r>
      <w:r w:rsidRPr="003B5EDD">
        <w:rPr>
          <w:rFonts w:ascii="Tw Cen MT" w:hAnsi="Tw Cen MT"/>
          <w:i/>
        </w:rPr>
        <w:t xml:space="preserve">, or NA. Check the </w:t>
      </w:r>
      <w:r w:rsidR="00982BF6">
        <w:rPr>
          <w:rFonts w:ascii="Tw Cen MT" w:hAnsi="Tw Cen MT"/>
          <w:i/>
        </w:rPr>
        <w:t>box</w:t>
      </w:r>
      <w:r w:rsidRPr="003B5EDD">
        <w:rPr>
          <w:rFonts w:ascii="Tw Cen MT" w:hAnsi="Tw Cen MT"/>
          <w:i/>
        </w:rPr>
        <w:t xml:space="preserve"> next to each observed area. </w:t>
      </w:r>
      <w:r w:rsidR="00982BF6">
        <w:rPr>
          <w:rFonts w:ascii="Tw Cen MT" w:hAnsi="Tw Cen MT"/>
          <w:i/>
        </w:rPr>
        <w:t>Provide brief evidence to support rating for each general feature.</w:t>
      </w:r>
    </w:p>
    <w:tbl>
      <w:tblPr>
        <w:tblStyle w:val="TableGrid"/>
        <w:tblW w:w="0" w:type="auto"/>
        <w:tblLook w:val="04A0" w:firstRow="1" w:lastRow="0" w:firstColumn="1" w:lastColumn="0" w:noHBand="0" w:noVBand="1"/>
      </w:tblPr>
      <w:tblGrid>
        <w:gridCol w:w="377"/>
        <w:gridCol w:w="5273"/>
        <w:gridCol w:w="5366"/>
      </w:tblGrid>
      <w:tr w:rsidR="00813375" w:rsidTr="00D20CEC">
        <w:trPr>
          <w:trHeight w:val="458"/>
        </w:trPr>
        <w:tc>
          <w:tcPr>
            <w:tcW w:w="377" w:type="dxa"/>
            <w:shd w:val="clear" w:color="auto" w:fill="CCFFCC"/>
          </w:tcPr>
          <w:p w:rsidR="00813375" w:rsidRPr="003B5EDD" w:rsidRDefault="00813375" w:rsidP="00813375">
            <w:pPr>
              <w:rPr>
                <w:rFonts w:ascii="Tw Cen MT" w:hAnsi="Tw Cen MT"/>
                <w:b/>
              </w:rPr>
            </w:pPr>
          </w:p>
        </w:tc>
        <w:tc>
          <w:tcPr>
            <w:tcW w:w="5273" w:type="dxa"/>
          </w:tcPr>
          <w:p w:rsidR="00813375" w:rsidRPr="00813375" w:rsidRDefault="00813375" w:rsidP="00813375">
            <w:pPr>
              <w:rPr>
                <w:rFonts w:ascii="Tw Cen MT" w:hAnsi="Tw Cen MT"/>
                <w:b/>
              </w:rPr>
            </w:pPr>
            <w:r w:rsidRPr="003B5EDD">
              <w:rPr>
                <w:rFonts w:ascii="Tw Cen MT" w:hAnsi="Tw Cen MT"/>
                <w:b/>
              </w:rPr>
              <w:t>Learning outcomes and goals are clearly communicated to students (</w:t>
            </w:r>
            <w:r>
              <w:rPr>
                <w:rFonts w:ascii="Tw Cen MT" w:hAnsi="Tw Cen MT"/>
                <w:b/>
              </w:rPr>
              <w:t>CPAST</w:t>
            </w:r>
            <w:r w:rsidRPr="003B5EDD">
              <w:rPr>
                <w:rFonts w:ascii="Tw Cen MT" w:hAnsi="Tw Cen MT"/>
                <w:b/>
              </w:rPr>
              <w:t xml:space="preserve"> Ped. E)</w:t>
            </w:r>
          </w:p>
        </w:tc>
        <w:tc>
          <w:tcPr>
            <w:tcW w:w="5366" w:type="dxa"/>
            <w:vMerge w:val="restart"/>
          </w:tcPr>
          <w:p w:rsidR="00813375" w:rsidRDefault="00982BF6" w:rsidP="00813375">
            <w:pPr>
              <w:rPr>
                <w:rFonts w:ascii="Tw Cen MT" w:hAnsi="Tw Cen MT"/>
                <w:i/>
              </w:rPr>
            </w:pPr>
            <w:r>
              <w:rPr>
                <w:rFonts w:ascii="Tw Cen MT" w:hAnsi="Tw Cen MT"/>
                <w:i/>
              </w:rPr>
              <w:t>Evidence to support rating</w:t>
            </w:r>
          </w:p>
          <w:p w:rsidR="00D20CEC" w:rsidRPr="00C801F6" w:rsidRDefault="00D20CEC" w:rsidP="00813375">
            <w:pPr>
              <w:rPr>
                <w:rFonts w:ascii="Tw Cen MT" w:hAnsi="Tw Cen MT"/>
              </w:rPr>
            </w:pPr>
          </w:p>
        </w:tc>
      </w:tr>
      <w:tr w:rsidR="00813375" w:rsidTr="00D20CEC">
        <w:tc>
          <w:tcPr>
            <w:tcW w:w="377" w:type="dxa"/>
          </w:tcPr>
          <w:p w:rsidR="00813375" w:rsidRDefault="00813375" w:rsidP="00813375">
            <w:pPr>
              <w:rPr>
                <w:rFonts w:ascii="Tw Cen MT" w:hAnsi="Tw Cen MT"/>
                <w:i/>
              </w:rPr>
            </w:pPr>
          </w:p>
        </w:tc>
        <w:tc>
          <w:tcPr>
            <w:tcW w:w="5273" w:type="dxa"/>
          </w:tcPr>
          <w:p w:rsidR="00813375" w:rsidRPr="00813375" w:rsidRDefault="00813375" w:rsidP="00813375">
            <w:pPr>
              <w:rPr>
                <w:rFonts w:ascii="Tw Cen MT" w:hAnsi="Tw Cen MT"/>
              </w:rPr>
            </w:pPr>
            <w:r w:rsidRPr="00813375">
              <w:rPr>
                <w:rFonts w:ascii="Tw Cen MT" w:hAnsi="Tw Cen MT"/>
              </w:rPr>
              <w:t>Sets the purpose for the instruction.</w:t>
            </w:r>
          </w:p>
        </w:tc>
        <w:tc>
          <w:tcPr>
            <w:tcW w:w="5366" w:type="dxa"/>
            <w:vMerge/>
          </w:tcPr>
          <w:p w:rsidR="00813375" w:rsidRDefault="00813375" w:rsidP="00813375">
            <w:pPr>
              <w:rPr>
                <w:rFonts w:ascii="Tw Cen MT" w:hAnsi="Tw Cen MT"/>
                <w:i/>
              </w:rPr>
            </w:pPr>
          </w:p>
        </w:tc>
      </w:tr>
      <w:tr w:rsidR="00813375" w:rsidTr="00D20CEC">
        <w:tc>
          <w:tcPr>
            <w:tcW w:w="377" w:type="dxa"/>
          </w:tcPr>
          <w:p w:rsidR="00813375" w:rsidRDefault="00813375" w:rsidP="00813375">
            <w:pPr>
              <w:rPr>
                <w:rFonts w:ascii="Tw Cen MT" w:hAnsi="Tw Cen MT"/>
                <w:i/>
              </w:rPr>
            </w:pPr>
          </w:p>
        </w:tc>
        <w:tc>
          <w:tcPr>
            <w:tcW w:w="5273" w:type="dxa"/>
          </w:tcPr>
          <w:p w:rsidR="00813375" w:rsidRPr="00813375" w:rsidRDefault="00813375" w:rsidP="00813375">
            <w:pPr>
              <w:rPr>
                <w:rFonts w:ascii="Tw Cen MT" w:hAnsi="Tw Cen MT"/>
              </w:rPr>
            </w:pPr>
            <w:r w:rsidRPr="00813375">
              <w:rPr>
                <w:rFonts w:ascii="Tw Cen MT" w:hAnsi="Tw Cen MT"/>
              </w:rPr>
              <w:t>Makes connections to previously- learned material.</w:t>
            </w:r>
          </w:p>
        </w:tc>
        <w:tc>
          <w:tcPr>
            <w:tcW w:w="5366" w:type="dxa"/>
            <w:vMerge/>
          </w:tcPr>
          <w:p w:rsidR="00813375" w:rsidRDefault="00813375" w:rsidP="00813375">
            <w:pPr>
              <w:rPr>
                <w:rFonts w:ascii="Tw Cen MT" w:hAnsi="Tw Cen MT"/>
                <w:i/>
              </w:rPr>
            </w:pPr>
          </w:p>
        </w:tc>
      </w:tr>
      <w:tr w:rsidR="00813375" w:rsidTr="00D20CEC">
        <w:tc>
          <w:tcPr>
            <w:tcW w:w="377" w:type="dxa"/>
          </w:tcPr>
          <w:p w:rsidR="00813375" w:rsidRDefault="00813375" w:rsidP="00813375">
            <w:pPr>
              <w:rPr>
                <w:rFonts w:ascii="Tw Cen MT" w:hAnsi="Tw Cen MT"/>
                <w:i/>
              </w:rPr>
            </w:pPr>
          </w:p>
        </w:tc>
        <w:tc>
          <w:tcPr>
            <w:tcW w:w="5273" w:type="dxa"/>
          </w:tcPr>
          <w:p w:rsidR="00813375" w:rsidRPr="00813375" w:rsidRDefault="00813375" w:rsidP="00813375">
            <w:pPr>
              <w:rPr>
                <w:rFonts w:ascii="Tw Cen MT" w:hAnsi="Tw Cen MT"/>
              </w:rPr>
            </w:pPr>
            <w:r w:rsidRPr="00813375">
              <w:rPr>
                <w:rFonts w:ascii="Tw Cen MT" w:hAnsi="Tw Cen MT"/>
              </w:rPr>
              <w:t>Articulates accurate direction/explanation throughout the lesson</w:t>
            </w:r>
          </w:p>
        </w:tc>
        <w:tc>
          <w:tcPr>
            <w:tcW w:w="5366" w:type="dxa"/>
            <w:vMerge/>
          </w:tcPr>
          <w:p w:rsidR="00813375" w:rsidRDefault="00813375" w:rsidP="00813375">
            <w:pPr>
              <w:rPr>
                <w:rFonts w:ascii="Tw Cen MT" w:hAnsi="Tw Cen MT"/>
                <w:i/>
              </w:rPr>
            </w:pPr>
          </w:p>
        </w:tc>
      </w:tr>
      <w:tr w:rsidR="00813375" w:rsidTr="00D20CEC">
        <w:tc>
          <w:tcPr>
            <w:tcW w:w="377" w:type="dxa"/>
          </w:tcPr>
          <w:p w:rsidR="00813375" w:rsidRDefault="00813375" w:rsidP="00813375">
            <w:pPr>
              <w:rPr>
                <w:rFonts w:ascii="Tw Cen MT" w:hAnsi="Tw Cen MT"/>
                <w:i/>
              </w:rPr>
            </w:pPr>
          </w:p>
        </w:tc>
        <w:tc>
          <w:tcPr>
            <w:tcW w:w="5273" w:type="dxa"/>
          </w:tcPr>
          <w:p w:rsidR="00813375" w:rsidRPr="00813375" w:rsidRDefault="00813375" w:rsidP="00813375">
            <w:pPr>
              <w:rPr>
                <w:rFonts w:ascii="Tw Cen MT" w:hAnsi="Tw Cen MT"/>
              </w:rPr>
            </w:pPr>
            <w:r w:rsidRPr="00813375">
              <w:rPr>
                <w:rFonts w:ascii="Tw Cen MT" w:hAnsi="Tw Cen MT"/>
              </w:rPr>
              <w:t>Proceeds in step-by-step fashion</w:t>
            </w:r>
          </w:p>
        </w:tc>
        <w:tc>
          <w:tcPr>
            <w:tcW w:w="5366" w:type="dxa"/>
            <w:vMerge/>
          </w:tcPr>
          <w:p w:rsidR="00813375" w:rsidRDefault="00813375" w:rsidP="00813375">
            <w:pPr>
              <w:rPr>
                <w:rFonts w:ascii="Tw Cen MT" w:hAnsi="Tw Cen MT"/>
                <w:i/>
              </w:rPr>
            </w:pPr>
          </w:p>
        </w:tc>
      </w:tr>
    </w:tbl>
    <w:p w:rsidR="00813375" w:rsidRDefault="00813375" w:rsidP="00813375">
      <w:pPr>
        <w:rPr>
          <w:rFonts w:ascii="Tw Cen MT" w:hAnsi="Tw Cen MT"/>
          <w:i/>
        </w:rPr>
      </w:pPr>
    </w:p>
    <w:tbl>
      <w:tblPr>
        <w:tblStyle w:val="TableGrid"/>
        <w:tblW w:w="0" w:type="auto"/>
        <w:tblLayout w:type="fixed"/>
        <w:tblLook w:val="04A0" w:firstRow="1" w:lastRow="0" w:firstColumn="1" w:lastColumn="0" w:noHBand="0" w:noVBand="1"/>
      </w:tblPr>
      <w:tblGrid>
        <w:gridCol w:w="336"/>
        <w:gridCol w:w="5287"/>
        <w:gridCol w:w="5393"/>
      </w:tblGrid>
      <w:tr w:rsidR="00813375" w:rsidTr="00694E82">
        <w:trPr>
          <w:trHeight w:val="458"/>
        </w:trPr>
        <w:tc>
          <w:tcPr>
            <w:tcW w:w="336" w:type="dxa"/>
            <w:shd w:val="clear" w:color="auto" w:fill="CCFFCC"/>
          </w:tcPr>
          <w:p w:rsidR="00813375" w:rsidRPr="003B5EDD" w:rsidRDefault="00813375" w:rsidP="00813375">
            <w:pPr>
              <w:rPr>
                <w:rFonts w:ascii="Tw Cen MT" w:hAnsi="Tw Cen MT"/>
                <w:b/>
              </w:rPr>
            </w:pPr>
          </w:p>
        </w:tc>
        <w:tc>
          <w:tcPr>
            <w:tcW w:w="5287" w:type="dxa"/>
          </w:tcPr>
          <w:p w:rsidR="00813375" w:rsidRPr="00813375" w:rsidRDefault="00813375" w:rsidP="00813375">
            <w:pPr>
              <w:rPr>
                <w:rFonts w:ascii="Tw Cen MT" w:hAnsi="Tw Cen MT"/>
                <w:b/>
              </w:rPr>
            </w:pPr>
            <w:r w:rsidRPr="00617A2F">
              <w:rPr>
                <w:rFonts w:ascii="Tw Cen MT" w:hAnsi="Tw Cen MT"/>
                <w:b/>
              </w:rPr>
              <w:t>Instructor engages students in meaningful interactions extending learning through critical thinking</w:t>
            </w:r>
            <w:r>
              <w:rPr>
                <w:rFonts w:ascii="Tw Cen MT" w:hAnsi="Tw Cen MT"/>
                <w:b/>
              </w:rPr>
              <w:t xml:space="preserve"> (CPAST Ped. F)</w:t>
            </w:r>
          </w:p>
        </w:tc>
        <w:tc>
          <w:tcPr>
            <w:tcW w:w="5393" w:type="dxa"/>
            <w:vMerge w:val="restart"/>
          </w:tcPr>
          <w:p w:rsidR="00813375" w:rsidRDefault="00982BF6" w:rsidP="00813375">
            <w:pPr>
              <w:rPr>
                <w:rFonts w:ascii="Tw Cen MT" w:hAnsi="Tw Cen MT"/>
                <w:i/>
              </w:rPr>
            </w:pPr>
            <w:r>
              <w:rPr>
                <w:rFonts w:ascii="Tw Cen MT" w:hAnsi="Tw Cen MT"/>
                <w:i/>
              </w:rPr>
              <w:t>Evidence to support rating</w:t>
            </w:r>
          </w:p>
          <w:p w:rsidR="00C801F6" w:rsidRPr="00C801F6" w:rsidRDefault="00C801F6" w:rsidP="00813375">
            <w:pPr>
              <w:rPr>
                <w:rFonts w:ascii="Tw Cen MT" w:hAnsi="Tw Cen MT"/>
              </w:rPr>
            </w:pPr>
          </w:p>
        </w:tc>
      </w:tr>
      <w:tr w:rsidR="00813375" w:rsidTr="00694E82">
        <w:tc>
          <w:tcPr>
            <w:tcW w:w="336" w:type="dxa"/>
          </w:tcPr>
          <w:p w:rsidR="00813375" w:rsidRDefault="00813375" w:rsidP="00813375">
            <w:pPr>
              <w:rPr>
                <w:rFonts w:ascii="Tw Cen MT" w:hAnsi="Tw Cen MT"/>
                <w:i/>
              </w:rPr>
            </w:pPr>
          </w:p>
        </w:tc>
        <w:tc>
          <w:tcPr>
            <w:tcW w:w="5287" w:type="dxa"/>
          </w:tcPr>
          <w:p w:rsidR="00813375" w:rsidRPr="00813375" w:rsidRDefault="00813375" w:rsidP="00813375">
            <w:pPr>
              <w:rPr>
                <w:rFonts w:ascii="Tw Cen MT" w:hAnsi="Tw Cen MT"/>
              </w:rPr>
            </w:pPr>
            <w:r w:rsidRPr="00813375">
              <w:rPr>
                <w:rFonts w:ascii="Tw Cen MT" w:hAnsi="Tw Cen MT"/>
              </w:rPr>
              <w:t>Fosters problem solving</w:t>
            </w:r>
          </w:p>
        </w:tc>
        <w:tc>
          <w:tcPr>
            <w:tcW w:w="5393" w:type="dxa"/>
            <w:vMerge/>
          </w:tcPr>
          <w:p w:rsidR="00813375" w:rsidRDefault="00813375" w:rsidP="00813375">
            <w:pPr>
              <w:rPr>
                <w:rFonts w:ascii="Tw Cen MT" w:hAnsi="Tw Cen MT"/>
                <w:i/>
              </w:rPr>
            </w:pPr>
          </w:p>
        </w:tc>
      </w:tr>
      <w:tr w:rsidR="00813375" w:rsidTr="00694E82">
        <w:tc>
          <w:tcPr>
            <w:tcW w:w="336" w:type="dxa"/>
          </w:tcPr>
          <w:p w:rsidR="00813375" w:rsidRDefault="00813375" w:rsidP="00813375">
            <w:pPr>
              <w:rPr>
                <w:rFonts w:ascii="Tw Cen MT" w:hAnsi="Tw Cen MT"/>
                <w:i/>
              </w:rPr>
            </w:pPr>
          </w:p>
        </w:tc>
        <w:tc>
          <w:tcPr>
            <w:tcW w:w="5287" w:type="dxa"/>
          </w:tcPr>
          <w:p w:rsidR="00813375" w:rsidRPr="00813375" w:rsidRDefault="00813375" w:rsidP="00813375">
            <w:pPr>
              <w:rPr>
                <w:rFonts w:ascii="Tw Cen MT" w:hAnsi="Tw Cen MT"/>
              </w:rPr>
            </w:pPr>
            <w:r w:rsidRPr="00813375">
              <w:rPr>
                <w:rFonts w:ascii="Tw Cen MT" w:hAnsi="Tw Cen MT"/>
              </w:rPr>
              <w:t>Encourages conceptual connections</w:t>
            </w:r>
          </w:p>
        </w:tc>
        <w:tc>
          <w:tcPr>
            <w:tcW w:w="5393" w:type="dxa"/>
            <w:vMerge/>
          </w:tcPr>
          <w:p w:rsidR="00813375" w:rsidRDefault="00813375" w:rsidP="00813375">
            <w:pPr>
              <w:rPr>
                <w:rFonts w:ascii="Tw Cen MT" w:hAnsi="Tw Cen MT"/>
                <w:i/>
              </w:rPr>
            </w:pPr>
          </w:p>
        </w:tc>
      </w:tr>
      <w:tr w:rsidR="00813375" w:rsidTr="00694E82">
        <w:tc>
          <w:tcPr>
            <w:tcW w:w="336" w:type="dxa"/>
          </w:tcPr>
          <w:p w:rsidR="00813375" w:rsidRDefault="00813375" w:rsidP="00813375">
            <w:pPr>
              <w:rPr>
                <w:rFonts w:ascii="Tw Cen MT" w:hAnsi="Tw Cen MT"/>
                <w:i/>
              </w:rPr>
            </w:pPr>
          </w:p>
        </w:tc>
        <w:tc>
          <w:tcPr>
            <w:tcW w:w="5287" w:type="dxa"/>
          </w:tcPr>
          <w:p w:rsidR="00813375" w:rsidRPr="00813375" w:rsidRDefault="00813375" w:rsidP="00813375">
            <w:pPr>
              <w:rPr>
                <w:rFonts w:ascii="Tw Cen MT" w:hAnsi="Tw Cen MT"/>
              </w:rPr>
            </w:pPr>
            <w:r w:rsidRPr="00813375">
              <w:rPr>
                <w:rFonts w:ascii="Tw Cen MT" w:hAnsi="Tw Cen MT"/>
              </w:rPr>
              <w:t>Challenges assumptions</w:t>
            </w:r>
          </w:p>
        </w:tc>
        <w:tc>
          <w:tcPr>
            <w:tcW w:w="5393" w:type="dxa"/>
            <w:vMerge/>
          </w:tcPr>
          <w:p w:rsidR="00813375" w:rsidRDefault="00813375" w:rsidP="00813375">
            <w:pPr>
              <w:rPr>
                <w:rFonts w:ascii="Tw Cen MT" w:hAnsi="Tw Cen MT"/>
                <w:i/>
              </w:rPr>
            </w:pPr>
          </w:p>
        </w:tc>
      </w:tr>
      <w:tr w:rsidR="00813375" w:rsidTr="00694E82">
        <w:tc>
          <w:tcPr>
            <w:tcW w:w="336" w:type="dxa"/>
          </w:tcPr>
          <w:p w:rsidR="00813375" w:rsidRDefault="00813375" w:rsidP="00813375">
            <w:pPr>
              <w:rPr>
                <w:rFonts w:ascii="Tw Cen MT" w:hAnsi="Tw Cen MT"/>
                <w:i/>
              </w:rPr>
            </w:pPr>
          </w:p>
        </w:tc>
        <w:tc>
          <w:tcPr>
            <w:tcW w:w="5287" w:type="dxa"/>
          </w:tcPr>
          <w:p w:rsidR="00813375" w:rsidRPr="00813375" w:rsidRDefault="00813375" w:rsidP="00813375">
            <w:pPr>
              <w:rPr>
                <w:rFonts w:ascii="Tw Cen MT" w:hAnsi="Tw Cen MT"/>
              </w:rPr>
            </w:pPr>
            <w:r w:rsidRPr="00813375">
              <w:rPr>
                <w:rFonts w:ascii="Tw Cen MT" w:hAnsi="Tw Cen MT"/>
              </w:rPr>
              <w:t>Engages students in discourse around new concepts</w:t>
            </w:r>
          </w:p>
        </w:tc>
        <w:tc>
          <w:tcPr>
            <w:tcW w:w="5393" w:type="dxa"/>
            <w:vMerge/>
          </w:tcPr>
          <w:p w:rsidR="00813375" w:rsidRDefault="00813375" w:rsidP="00813375">
            <w:pPr>
              <w:rPr>
                <w:rFonts w:ascii="Tw Cen MT" w:hAnsi="Tw Cen MT"/>
                <w:i/>
              </w:rPr>
            </w:pPr>
          </w:p>
        </w:tc>
      </w:tr>
      <w:tr w:rsidR="00813375" w:rsidTr="00694E82">
        <w:trPr>
          <w:trHeight w:val="71"/>
        </w:trPr>
        <w:tc>
          <w:tcPr>
            <w:tcW w:w="336" w:type="dxa"/>
          </w:tcPr>
          <w:p w:rsidR="00813375" w:rsidRDefault="00813375" w:rsidP="00813375">
            <w:pPr>
              <w:rPr>
                <w:rFonts w:ascii="Tw Cen MT" w:hAnsi="Tw Cen MT"/>
                <w:i/>
              </w:rPr>
            </w:pPr>
          </w:p>
        </w:tc>
        <w:tc>
          <w:tcPr>
            <w:tcW w:w="5287" w:type="dxa"/>
          </w:tcPr>
          <w:p w:rsidR="00813375" w:rsidRPr="00813375" w:rsidRDefault="00813375" w:rsidP="00813375">
            <w:pPr>
              <w:rPr>
                <w:rFonts w:ascii="Tw Cen MT" w:hAnsi="Tw Cen MT"/>
              </w:rPr>
            </w:pPr>
            <w:r w:rsidRPr="00813375">
              <w:rPr>
                <w:rFonts w:ascii="Tw Cen MT" w:hAnsi="Tw Cen MT"/>
              </w:rPr>
              <w:t>Elicits elaboration and deep connection from students</w:t>
            </w:r>
          </w:p>
        </w:tc>
        <w:tc>
          <w:tcPr>
            <w:tcW w:w="5393" w:type="dxa"/>
            <w:vMerge/>
          </w:tcPr>
          <w:p w:rsidR="00813375" w:rsidRDefault="00813375" w:rsidP="00813375">
            <w:pPr>
              <w:rPr>
                <w:rFonts w:ascii="Tw Cen MT" w:hAnsi="Tw Cen MT"/>
                <w:i/>
              </w:rPr>
            </w:pPr>
          </w:p>
        </w:tc>
      </w:tr>
    </w:tbl>
    <w:p w:rsidR="00813375" w:rsidRDefault="00813375" w:rsidP="00813375">
      <w:pPr>
        <w:rPr>
          <w:rFonts w:ascii="Tw Cen MT" w:hAnsi="Tw Cen MT"/>
          <w:i/>
        </w:rPr>
      </w:pPr>
    </w:p>
    <w:tbl>
      <w:tblPr>
        <w:tblStyle w:val="TableGrid"/>
        <w:tblW w:w="0" w:type="auto"/>
        <w:tblLook w:val="04A0" w:firstRow="1" w:lastRow="0" w:firstColumn="1" w:lastColumn="0" w:noHBand="0" w:noVBand="1"/>
      </w:tblPr>
      <w:tblGrid>
        <w:gridCol w:w="378"/>
        <w:gridCol w:w="5220"/>
        <w:gridCol w:w="5418"/>
      </w:tblGrid>
      <w:tr w:rsidR="0096471E" w:rsidTr="00D20CEC">
        <w:trPr>
          <w:trHeight w:val="458"/>
        </w:trPr>
        <w:tc>
          <w:tcPr>
            <w:tcW w:w="378" w:type="dxa"/>
            <w:shd w:val="clear" w:color="auto" w:fill="CCFFCC"/>
          </w:tcPr>
          <w:p w:rsidR="0096471E" w:rsidRPr="003B5EDD" w:rsidRDefault="0096471E" w:rsidP="00694E82">
            <w:pPr>
              <w:rPr>
                <w:rFonts w:ascii="Tw Cen MT" w:hAnsi="Tw Cen MT"/>
                <w:b/>
              </w:rPr>
            </w:pPr>
          </w:p>
        </w:tc>
        <w:tc>
          <w:tcPr>
            <w:tcW w:w="5220" w:type="dxa"/>
          </w:tcPr>
          <w:p w:rsidR="0096471E" w:rsidRPr="00813375" w:rsidRDefault="0096471E" w:rsidP="00813375">
            <w:pPr>
              <w:rPr>
                <w:rFonts w:ascii="Tw Cen MT" w:hAnsi="Tw Cen MT"/>
                <w:b/>
              </w:rPr>
            </w:pPr>
            <w:r w:rsidRPr="00617A2F">
              <w:rPr>
                <w:rFonts w:ascii="Tw Cen MT" w:hAnsi="Tw Cen MT"/>
                <w:b/>
              </w:rPr>
              <w:t xml:space="preserve">Instructor </w:t>
            </w:r>
            <w:r>
              <w:rPr>
                <w:rFonts w:ascii="Tw Cen MT" w:hAnsi="Tw Cen MT"/>
                <w:b/>
              </w:rPr>
              <w:t>gathers student-</w:t>
            </w:r>
            <w:r w:rsidRPr="00617A2F">
              <w:rPr>
                <w:rFonts w:ascii="Tw Cen MT" w:hAnsi="Tw Cen MT"/>
                <w:b/>
              </w:rPr>
              <w:t>learning data and adjusts instruction through formative assessments (</w:t>
            </w:r>
            <w:r>
              <w:rPr>
                <w:rFonts w:ascii="Tw Cen MT" w:hAnsi="Tw Cen MT"/>
                <w:b/>
              </w:rPr>
              <w:t>CPAST</w:t>
            </w:r>
            <w:r w:rsidRPr="00617A2F">
              <w:rPr>
                <w:rFonts w:ascii="Tw Cen MT" w:hAnsi="Tw Cen MT"/>
                <w:b/>
              </w:rPr>
              <w:t xml:space="preserve"> Ped. G</w:t>
            </w:r>
            <w:r>
              <w:rPr>
                <w:rFonts w:ascii="Tw Cen MT" w:hAnsi="Tw Cen MT"/>
                <w:b/>
              </w:rPr>
              <w:t>, J, L</w:t>
            </w:r>
            <w:r w:rsidRPr="00617A2F">
              <w:rPr>
                <w:rFonts w:ascii="Tw Cen MT" w:hAnsi="Tw Cen MT"/>
                <w:b/>
              </w:rPr>
              <w:t>)</w:t>
            </w:r>
          </w:p>
        </w:tc>
        <w:tc>
          <w:tcPr>
            <w:tcW w:w="5418" w:type="dxa"/>
            <w:vMerge w:val="restart"/>
          </w:tcPr>
          <w:p w:rsidR="0096471E" w:rsidRDefault="00982BF6" w:rsidP="00813375">
            <w:pPr>
              <w:rPr>
                <w:rFonts w:ascii="Tw Cen MT" w:hAnsi="Tw Cen MT"/>
                <w:i/>
              </w:rPr>
            </w:pPr>
            <w:r>
              <w:rPr>
                <w:rFonts w:ascii="Tw Cen MT" w:hAnsi="Tw Cen MT"/>
                <w:i/>
              </w:rPr>
              <w:t>Evidence to support rating</w:t>
            </w:r>
          </w:p>
          <w:p w:rsidR="00D20CEC" w:rsidRDefault="00D20CEC" w:rsidP="00813375">
            <w:pPr>
              <w:rPr>
                <w:rFonts w:ascii="Tw Cen MT" w:hAnsi="Tw Cen MT"/>
                <w:i/>
              </w:rPr>
            </w:pPr>
            <w:r>
              <w:rPr>
                <w:rFonts w:ascii="Tw Cen MT" w:hAnsi="Tw Cen MT"/>
                <w:i/>
              </w:rPr>
              <w:t xml:space="preserve"> </w:t>
            </w:r>
          </w:p>
        </w:tc>
      </w:tr>
      <w:tr w:rsidR="0096471E" w:rsidTr="00D20CEC">
        <w:tc>
          <w:tcPr>
            <w:tcW w:w="378" w:type="dxa"/>
          </w:tcPr>
          <w:p w:rsidR="0096471E" w:rsidRDefault="0096471E" w:rsidP="00813375">
            <w:pPr>
              <w:rPr>
                <w:rFonts w:ascii="Tw Cen MT" w:hAnsi="Tw Cen MT"/>
                <w:i/>
              </w:rPr>
            </w:pPr>
          </w:p>
        </w:tc>
        <w:tc>
          <w:tcPr>
            <w:tcW w:w="5220" w:type="dxa"/>
          </w:tcPr>
          <w:p w:rsidR="0096471E" w:rsidRPr="0096471E" w:rsidRDefault="0096471E" w:rsidP="0096471E">
            <w:pPr>
              <w:rPr>
                <w:rFonts w:ascii="Tw Cen MT" w:hAnsi="Tw Cen MT"/>
              </w:rPr>
            </w:pPr>
            <w:r w:rsidRPr="0096471E">
              <w:rPr>
                <w:rFonts w:ascii="Tw Cen MT" w:hAnsi="Tw Cen MT"/>
              </w:rPr>
              <w:t>Provides opportunities for practice after each step in instruction</w:t>
            </w:r>
          </w:p>
        </w:tc>
        <w:tc>
          <w:tcPr>
            <w:tcW w:w="5418" w:type="dxa"/>
            <w:vMerge/>
          </w:tcPr>
          <w:p w:rsidR="0096471E" w:rsidRDefault="0096471E" w:rsidP="00813375">
            <w:pPr>
              <w:rPr>
                <w:rFonts w:ascii="Tw Cen MT" w:hAnsi="Tw Cen MT"/>
                <w:i/>
              </w:rPr>
            </w:pPr>
          </w:p>
        </w:tc>
      </w:tr>
      <w:tr w:rsidR="0096471E" w:rsidTr="00D20CEC">
        <w:tc>
          <w:tcPr>
            <w:tcW w:w="378" w:type="dxa"/>
          </w:tcPr>
          <w:p w:rsidR="0096471E" w:rsidRDefault="0096471E" w:rsidP="00813375">
            <w:pPr>
              <w:rPr>
                <w:rFonts w:ascii="Tw Cen MT" w:hAnsi="Tw Cen MT"/>
                <w:i/>
              </w:rPr>
            </w:pPr>
          </w:p>
        </w:tc>
        <w:tc>
          <w:tcPr>
            <w:tcW w:w="5220" w:type="dxa"/>
          </w:tcPr>
          <w:p w:rsidR="0096471E" w:rsidRPr="0096471E" w:rsidRDefault="0096471E" w:rsidP="0096471E">
            <w:pPr>
              <w:rPr>
                <w:rFonts w:ascii="Tw Cen MT" w:hAnsi="Tw Cen MT"/>
              </w:rPr>
            </w:pPr>
            <w:r w:rsidRPr="0096471E">
              <w:rPr>
                <w:rFonts w:ascii="Tw Cen MT" w:hAnsi="Tw Cen MT"/>
              </w:rPr>
              <w:t>Elicits group responses</w:t>
            </w:r>
          </w:p>
        </w:tc>
        <w:tc>
          <w:tcPr>
            <w:tcW w:w="5418" w:type="dxa"/>
            <w:vMerge/>
          </w:tcPr>
          <w:p w:rsidR="0096471E" w:rsidRDefault="0096471E" w:rsidP="00813375">
            <w:pPr>
              <w:rPr>
                <w:rFonts w:ascii="Tw Cen MT" w:hAnsi="Tw Cen MT"/>
                <w:i/>
              </w:rPr>
            </w:pPr>
          </w:p>
        </w:tc>
      </w:tr>
      <w:tr w:rsidR="0096471E" w:rsidTr="00D20CEC">
        <w:tc>
          <w:tcPr>
            <w:tcW w:w="378" w:type="dxa"/>
          </w:tcPr>
          <w:p w:rsidR="0096471E" w:rsidRDefault="0096471E" w:rsidP="00813375">
            <w:pPr>
              <w:rPr>
                <w:rFonts w:ascii="Tw Cen MT" w:hAnsi="Tw Cen MT"/>
                <w:i/>
              </w:rPr>
            </w:pPr>
          </w:p>
        </w:tc>
        <w:tc>
          <w:tcPr>
            <w:tcW w:w="5220" w:type="dxa"/>
          </w:tcPr>
          <w:p w:rsidR="0096471E" w:rsidRPr="0096471E" w:rsidRDefault="0096471E" w:rsidP="0096471E">
            <w:pPr>
              <w:rPr>
                <w:rFonts w:ascii="Tw Cen MT" w:hAnsi="Tw Cen MT"/>
              </w:rPr>
            </w:pPr>
            <w:r w:rsidRPr="0096471E">
              <w:rPr>
                <w:rFonts w:ascii="Tw Cen MT" w:hAnsi="Tw Cen MT"/>
              </w:rPr>
              <w:t>Elicits individual responses</w:t>
            </w:r>
          </w:p>
        </w:tc>
        <w:tc>
          <w:tcPr>
            <w:tcW w:w="5418" w:type="dxa"/>
            <w:vMerge/>
          </w:tcPr>
          <w:p w:rsidR="0096471E" w:rsidRDefault="0096471E" w:rsidP="00813375">
            <w:pPr>
              <w:rPr>
                <w:rFonts w:ascii="Tw Cen MT" w:hAnsi="Tw Cen MT"/>
                <w:i/>
              </w:rPr>
            </w:pPr>
          </w:p>
        </w:tc>
      </w:tr>
      <w:tr w:rsidR="0096471E" w:rsidTr="00D20CEC">
        <w:tc>
          <w:tcPr>
            <w:tcW w:w="378" w:type="dxa"/>
          </w:tcPr>
          <w:p w:rsidR="0096471E" w:rsidRDefault="0096471E" w:rsidP="00813375">
            <w:pPr>
              <w:rPr>
                <w:rFonts w:ascii="Tw Cen MT" w:hAnsi="Tw Cen MT"/>
                <w:i/>
              </w:rPr>
            </w:pPr>
          </w:p>
        </w:tc>
        <w:tc>
          <w:tcPr>
            <w:tcW w:w="5220" w:type="dxa"/>
          </w:tcPr>
          <w:p w:rsidR="0096471E" w:rsidRPr="0096471E" w:rsidRDefault="0096471E" w:rsidP="0096471E">
            <w:pPr>
              <w:rPr>
                <w:rFonts w:ascii="Tw Cen MT" w:hAnsi="Tw Cen MT"/>
              </w:rPr>
            </w:pPr>
            <w:r w:rsidRPr="0096471E">
              <w:rPr>
                <w:rFonts w:ascii="Tw Cen MT" w:hAnsi="Tw Cen MT"/>
              </w:rPr>
              <w:t>Differentiates based on data (planned and responsive differentiation present)</w:t>
            </w:r>
          </w:p>
        </w:tc>
        <w:tc>
          <w:tcPr>
            <w:tcW w:w="5418" w:type="dxa"/>
            <w:vMerge/>
          </w:tcPr>
          <w:p w:rsidR="0096471E" w:rsidRDefault="0096471E" w:rsidP="00813375">
            <w:pPr>
              <w:rPr>
                <w:rFonts w:ascii="Tw Cen MT" w:hAnsi="Tw Cen MT"/>
                <w:i/>
              </w:rPr>
            </w:pPr>
          </w:p>
        </w:tc>
      </w:tr>
      <w:tr w:rsidR="0096471E" w:rsidTr="00D20CEC">
        <w:tc>
          <w:tcPr>
            <w:tcW w:w="378" w:type="dxa"/>
          </w:tcPr>
          <w:p w:rsidR="0096471E" w:rsidRDefault="0096471E" w:rsidP="00813375">
            <w:pPr>
              <w:rPr>
                <w:rFonts w:ascii="Tw Cen MT" w:hAnsi="Tw Cen MT"/>
                <w:i/>
              </w:rPr>
            </w:pPr>
          </w:p>
        </w:tc>
        <w:tc>
          <w:tcPr>
            <w:tcW w:w="5220" w:type="dxa"/>
          </w:tcPr>
          <w:p w:rsidR="0096471E" w:rsidRPr="0096471E" w:rsidRDefault="0096471E" w:rsidP="0096471E">
            <w:pPr>
              <w:rPr>
                <w:rFonts w:ascii="Tw Cen MT" w:hAnsi="Tw Cen MT"/>
              </w:rPr>
            </w:pPr>
            <w:r w:rsidRPr="0096471E">
              <w:rPr>
                <w:rFonts w:ascii="Tw Cen MT" w:hAnsi="Tw Cen MT"/>
              </w:rPr>
              <w:t>Uses tools for learner data record-keeping and analysis</w:t>
            </w:r>
          </w:p>
        </w:tc>
        <w:tc>
          <w:tcPr>
            <w:tcW w:w="5418" w:type="dxa"/>
            <w:vMerge/>
          </w:tcPr>
          <w:p w:rsidR="0096471E" w:rsidRDefault="0096471E" w:rsidP="00813375">
            <w:pPr>
              <w:rPr>
                <w:rFonts w:ascii="Tw Cen MT" w:hAnsi="Tw Cen MT"/>
                <w:i/>
              </w:rPr>
            </w:pPr>
          </w:p>
        </w:tc>
      </w:tr>
      <w:tr w:rsidR="0096471E" w:rsidTr="00D20CEC">
        <w:tc>
          <w:tcPr>
            <w:tcW w:w="378" w:type="dxa"/>
          </w:tcPr>
          <w:p w:rsidR="0096471E" w:rsidRDefault="0096471E" w:rsidP="00813375">
            <w:pPr>
              <w:rPr>
                <w:rFonts w:ascii="Tw Cen MT" w:hAnsi="Tw Cen MT"/>
                <w:i/>
              </w:rPr>
            </w:pPr>
          </w:p>
        </w:tc>
        <w:tc>
          <w:tcPr>
            <w:tcW w:w="5220" w:type="dxa"/>
          </w:tcPr>
          <w:p w:rsidR="0096471E" w:rsidRPr="0096471E" w:rsidRDefault="0096471E" w:rsidP="0096471E">
            <w:pPr>
              <w:rPr>
                <w:rFonts w:ascii="Tw Cen MT" w:hAnsi="Tw Cen MT"/>
              </w:rPr>
            </w:pPr>
            <w:r w:rsidRPr="0096471E">
              <w:rPr>
                <w:rFonts w:ascii="Tw Cen MT" w:hAnsi="Tw Cen MT"/>
              </w:rPr>
              <w:t>Evaluates learning through formative assessment techniques during learning</w:t>
            </w:r>
          </w:p>
        </w:tc>
        <w:tc>
          <w:tcPr>
            <w:tcW w:w="5418" w:type="dxa"/>
            <w:vMerge/>
          </w:tcPr>
          <w:p w:rsidR="0096471E" w:rsidRDefault="0096471E" w:rsidP="00813375">
            <w:pPr>
              <w:rPr>
                <w:rFonts w:ascii="Tw Cen MT" w:hAnsi="Tw Cen MT"/>
                <w:i/>
              </w:rPr>
            </w:pPr>
          </w:p>
        </w:tc>
      </w:tr>
    </w:tbl>
    <w:p w:rsidR="00813375" w:rsidRDefault="00813375" w:rsidP="00813375">
      <w:pPr>
        <w:rPr>
          <w:rFonts w:ascii="Tw Cen MT" w:hAnsi="Tw Cen MT"/>
          <w:i/>
        </w:rPr>
      </w:pPr>
    </w:p>
    <w:p w:rsidR="00F07A6E" w:rsidRDefault="00F07A6E" w:rsidP="00813375">
      <w:pPr>
        <w:rPr>
          <w:rFonts w:ascii="Tw Cen MT" w:hAnsi="Tw Cen MT"/>
          <w:i/>
        </w:rPr>
      </w:pPr>
    </w:p>
    <w:tbl>
      <w:tblPr>
        <w:tblStyle w:val="TableGrid"/>
        <w:tblW w:w="0" w:type="auto"/>
        <w:tblLook w:val="04A0" w:firstRow="1" w:lastRow="0" w:firstColumn="1" w:lastColumn="0" w:noHBand="0" w:noVBand="1"/>
      </w:tblPr>
      <w:tblGrid>
        <w:gridCol w:w="336"/>
        <w:gridCol w:w="5288"/>
        <w:gridCol w:w="5392"/>
      </w:tblGrid>
      <w:tr w:rsidR="00813375" w:rsidTr="00694E82">
        <w:trPr>
          <w:trHeight w:val="458"/>
        </w:trPr>
        <w:tc>
          <w:tcPr>
            <w:tcW w:w="336" w:type="dxa"/>
            <w:shd w:val="clear" w:color="auto" w:fill="CCFFCC"/>
          </w:tcPr>
          <w:p w:rsidR="00813375" w:rsidRPr="003B5EDD" w:rsidRDefault="00813375" w:rsidP="00813375">
            <w:pPr>
              <w:rPr>
                <w:rFonts w:ascii="Tw Cen MT" w:hAnsi="Tw Cen MT"/>
                <w:b/>
              </w:rPr>
            </w:pPr>
          </w:p>
        </w:tc>
        <w:tc>
          <w:tcPr>
            <w:tcW w:w="5288" w:type="dxa"/>
          </w:tcPr>
          <w:p w:rsidR="00813375" w:rsidRPr="00813375" w:rsidRDefault="0096471E" w:rsidP="00813375">
            <w:pPr>
              <w:rPr>
                <w:rFonts w:ascii="Tw Cen MT" w:hAnsi="Tw Cen MT"/>
                <w:b/>
              </w:rPr>
            </w:pPr>
            <w:r w:rsidRPr="00617A2F">
              <w:rPr>
                <w:rFonts w:ascii="Tw Cen MT" w:hAnsi="Tw Cen MT"/>
                <w:b/>
              </w:rPr>
              <w:t>Instructor uses resources and materials to enhance learning and engagement</w:t>
            </w:r>
            <w:r>
              <w:rPr>
                <w:rFonts w:ascii="Tw Cen MT" w:hAnsi="Tw Cen MT"/>
                <w:b/>
              </w:rPr>
              <w:t xml:space="preserve"> (CPAST Ped. H)</w:t>
            </w:r>
          </w:p>
        </w:tc>
        <w:tc>
          <w:tcPr>
            <w:tcW w:w="5392" w:type="dxa"/>
            <w:vMerge w:val="restart"/>
          </w:tcPr>
          <w:p w:rsidR="00813375" w:rsidRDefault="00982BF6" w:rsidP="00813375">
            <w:pPr>
              <w:rPr>
                <w:rFonts w:ascii="Tw Cen MT" w:hAnsi="Tw Cen MT"/>
                <w:i/>
              </w:rPr>
            </w:pPr>
            <w:r>
              <w:rPr>
                <w:rFonts w:ascii="Tw Cen MT" w:hAnsi="Tw Cen MT"/>
                <w:i/>
              </w:rPr>
              <w:t>Evidence to support rating</w:t>
            </w:r>
          </w:p>
          <w:p w:rsidR="00D20CEC" w:rsidRPr="00D20CEC" w:rsidRDefault="00D20CEC" w:rsidP="00813375">
            <w:pPr>
              <w:rPr>
                <w:rFonts w:ascii="Tw Cen MT" w:hAnsi="Tw Cen MT"/>
              </w:rPr>
            </w:pPr>
          </w:p>
        </w:tc>
      </w:tr>
      <w:tr w:rsidR="00813375" w:rsidTr="00694E82">
        <w:tc>
          <w:tcPr>
            <w:tcW w:w="336" w:type="dxa"/>
          </w:tcPr>
          <w:p w:rsidR="00813375" w:rsidRDefault="00813375" w:rsidP="00813375">
            <w:pPr>
              <w:rPr>
                <w:rFonts w:ascii="Tw Cen MT" w:hAnsi="Tw Cen MT"/>
                <w:i/>
              </w:rPr>
            </w:pPr>
          </w:p>
        </w:tc>
        <w:tc>
          <w:tcPr>
            <w:tcW w:w="5288" w:type="dxa"/>
          </w:tcPr>
          <w:p w:rsidR="00813375" w:rsidRPr="008F4294" w:rsidRDefault="0096471E" w:rsidP="008F4294">
            <w:pPr>
              <w:rPr>
                <w:rFonts w:ascii="Tw Cen MT" w:hAnsi="Tw Cen MT"/>
              </w:rPr>
            </w:pPr>
            <w:r w:rsidRPr="008F4294">
              <w:rPr>
                <w:rFonts w:ascii="Tw Cen MT" w:hAnsi="Tw Cen MT"/>
              </w:rPr>
              <w:t>Uses visuals and manipulatives to teach content as necessary</w:t>
            </w:r>
          </w:p>
        </w:tc>
        <w:tc>
          <w:tcPr>
            <w:tcW w:w="5392" w:type="dxa"/>
            <w:vMerge/>
          </w:tcPr>
          <w:p w:rsidR="00813375" w:rsidRDefault="00813375" w:rsidP="00813375">
            <w:pPr>
              <w:rPr>
                <w:rFonts w:ascii="Tw Cen MT" w:hAnsi="Tw Cen MT"/>
                <w:i/>
              </w:rPr>
            </w:pPr>
          </w:p>
        </w:tc>
      </w:tr>
      <w:tr w:rsidR="00813375" w:rsidTr="00694E82">
        <w:tc>
          <w:tcPr>
            <w:tcW w:w="336" w:type="dxa"/>
          </w:tcPr>
          <w:p w:rsidR="00813375" w:rsidRDefault="00813375" w:rsidP="00813375">
            <w:pPr>
              <w:rPr>
                <w:rFonts w:ascii="Tw Cen MT" w:hAnsi="Tw Cen MT"/>
                <w:i/>
              </w:rPr>
            </w:pPr>
          </w:p>
        </w:tc>
        <w:tc>
          <w:tcPr>
            <w:tcW w:w="5288" w:type="dxa"/>
          </w:tcPr>
          <w:p w:rsidR="00813375" w:rsidRPr="008F4294" w:rsidRDefault="0096471E" w:rsidP="008F4294">
            <w:pPr>
              <w:rPr>
                <w:rFonts w:ascii="Tw Cen MT" w:hAnsi="Tw Cen MT"/>
              </w:rPr>
            </w:pPr>
            <w:r w:rsidRPr="008F4294">
              <w:rPr>
                <w:rFonts w:ascii="Tw Cen MT" w:hAnsi="Tw Cen MT"/>
              </w:rPr>
              <w:t>Digital tools are present</w:t>
            </w:r>
          </w:p>
        </w:tc>
        <w:tc>
          <w:tcPr>
            <w:tcW w:w="5392" w:type="dxa"/>
            <w:vMerge/>
          </w:tcPr>
          <w:p w:rsidR="00813375" w:rsidRDefault="00813375" w:rsidP="00813375">
            <w:pPr>
              <w:rPr>
                <w:rFonts w:ascii="Tw Cen MT" w:hAnsi="Tw Cen MT"/>
                <w:i/>
              </w:rPr>
            </w:pPr>
          </w:p>
        </w:tc>
      </w:tr>
      <w:tr w:rsidR="00813375" w:rsidTr="00694E82">
        <w:tc>
          <w:tcPr>
            <w:tcW w:w="336" w:type="dxa"/>
          </w:tcPr>
          <w:p w:rsidR="00813375" w:rsidRDefault="00813375" w:rsidP="00813375">
            <w:pPr>
              <w:rPr>
                <w:rFonts w:ascii="Tw Cen MT" w:hAnsi="Tw Cen MT"/>
                <w:i/>
              </w:rPr>
            </w:pPr>
          </w:p>
        </w:tc>
        <w:tc>
          <w:tcPr>
            <w:tcW w:w="5288" w:type="dxa"/>
          </w:tcPr>
          <w:p w:rsidR="00813375" w:rsidRPr="008F4294" w:rsidRDefault="0096471E" w:rsidP="008F4294">
            <w:pPr>
              <w:rPr>
                <w:rFonts w:ascii="Tw Cen MT" w:hAnsi="Tw Cen MT"/>
              </w:rPr>
            </w:pPr>
            <w:r w:rsidRPr="008F4294">
              <w:rPr>
                <w:rFonts w:ascii="Tw Cen MT" w:hAnsi="Tw Cen MT"/>
              </w:rPr>
              <w:t>Tools are relevant to learning outcomes and goals</w:t>
            </w:r>
          </w:p>
        </w:tc>
        <w:tc>
          <w:tcPr>
            <w:tcW w:w="5392" w:type="dxa"/>
            <w:vMerge/>
          </w:tcPr>
          <w:p w:rsidR="00813375" w:rsidRDefault="00813375" w:rsidP="00813375">
            <w:pPr>
              <w:rPr>
                <w:rFonts w:ascii="Tw Cen MT" w:hAnsi="Tw Cen MT"/>
                <w:i/>
              </w:rPr>
            </w:pPr>
          </w:p>
        </w:tc>
      </w:tr>
    </w:tbl>
    <w:p w:rsidR="00813375" w:rsidRDefault="00813375" w:rsidP="00813375">
      <w:pPr>
        <w:rPr>
          <w:rFonts w:ascii="Tw Cen MT" w:hAnsi="Tw Cen MT"/>
          <w:i/>
        </w:rPr>
      </w:pPr>
    </w:p>
    <w:p w:rsidR="00694E82" w:rsidRDefault="00694E82" w:rsidP="00813375">
      <w:pPr>
        <w:rPr>
          <w:rFonts w:ascii="Tw Cen MT" w:hAnsi="Tw Cen MT"/>
          <w:i/>
        </w:rPr>
      </w:pPr>
    </w:p>
    <w:tbl>
      <w:tblPr>
        <w:tblStyle w:val="TableGrid"/>
        <w:tblW w:w="0" w:type="auto"/>
        <w:tblLook w:val="04A0" w:firstRow="1" w:lastRow="0" w:firstColumn="1" w:lastColumn="0" w:noHBand="0" w:noVBand="1"/>
      </w:tblPr>
      <w:tblGrid>
        <w:gridCol w:w="288"/>
        <w:gridCol w:w="5310"/>
        <w:gridCol w:w="5418"/>
      </w:tblGrid>
      <w:tr w:rsidR="00982BF6" w:rsidTr="00982BF6">
        <w:trPr>
          <w:trHeight w:val="458"/>
        </w:trPr>
        <w:tc>
          <w:tcPr>
            <w:tcW w:w="288" w:type="dxa"/>
            <w:shd w:val="clear" w:color="auto" w:fill="CCFFCC"/>
          </w:tcPr>
          <w:p w:rsidR="00982BF6" w:rsidRPr="003B5EDD" w:rsidRDefault="00982BF6" w:rsidP="00813375">
            <w:pPr>
              <w:rPr>
                <w:rFonts w:ascii="Tw Cen MT" w:hAnsi="Tw Cen MT"/>
                <w:b/>
              </w:rPr>
            </w:pPr>
          </w:p>
        </w:tc>
        <w:tc>
          <w:tcPr>
            <w:tcW w:w="5310" w:type="dxa"/>
          </w:tcPr>
          <w:p w:rsidR="00982BF6" w:rsidRPr="00813375" w:rsidRDefault="00982BF6" w:rsidP="00813375">
            <w:pPr>
              <w:rPr>
                <w:rFonts w:ascii="Tw Cen MT" w:hAnsi="Tw Cen MT"/>
                <w:b/>
              </w:rPr>
            </w:pPr>
            <w:r w:rsidRPr="00AA73B9">
              <w:rPr>
                <w:rFonts w:ascii="Tw Cen MT" w:hAnsi="Tw Cen MT"/>
                <w:b/>
              </w:rPr>
              <w:t>Instructor creates a safe and respectful learning environment (</w:t>
            </w:r>
            <w:r>
              <w:rPr>
                <w:rFonts w:ascii="Tw Cen MT" w:hAnsi="Tw Cen MT"/>
                <w:b/>
              </w:rPr>
              <w:t>CPAST</w:t>
            </w:r>
            <w:r w:rsidRPr="00AA73B9">
              <w:rPr>
                <w:rFonts w:ascii="Tw Cen MT" w:hAnsi="Tw Cen MT"/>
                <w:b/>
              </w:rPr>
              <w:t xml:space="preserve"> Ped. I)</w:t>
            </w:r>
          </w:p>
        </w:tc>
        <w:tc>
          <w:tcPr>
            <w:tcW w:w="5418" w:type="dxa"/>
            <w:vMerge w:val="restart"/>
          </w:tcPr>
          <w:p w:rsidR="00982BF6" w:rsidRDefault="00982BF6" w:rsidP="00813375">
            <w:pPr>
              <w:rPr>
                <w:rFonts w:ascii="Tw Cen MT" w:hAnsi="Tw Cen MT"/>
                <w:i/>
              </w:rPr>
            </w:pPr>
            <w:r>
              <w:rPr>
                <w:rFonts w:ascii="Tw Cen MT" w:hAnsi="Tw Cen MT"/>
                <w:i/>
              </w:rPr>
              <w:t>Evidence to support rating</w:t>
            </w:r>
          </w:p>
          <w:p w:rsidR="00F64DFB" w:rsidRDefault="00F64DFB" w:rsidP="00813375">
            <w:pPr>
              <w:rPr>
                <w:rFonts w:ascii="Tw Cen MT" w:hAnsi="Tw Cen MT"/>
                <w:i/>
              </w:rPr>
            </w:pPr>
            <w:r>
              <w:rPr>
                <w:rFonts w:ascii="Tw Cen MT" w:hAnsi="Tw Cen MT"/>
                <w:i/>
              </w:rPr>
              <w:t xml:space="preserve"> </w:t>
            </w:r>
          </w:p>
        </w:tc>
      </w:tr>
      <w:tr w:rsidR="00982BF6" w:rsidTr="00813375">
        <w:tc>
          <w:tcPr>
            <w:tcW w:w="288" w:type="dxa"/>
          </w:tcPr>
          <w:p w:rsidR="00982BF6" w:rsidRDefault="00982BF6" w:rsidP="00813375">
            <w:pPr>
              <w:rPr>
                <w:rFonts w:ascii="Tw Cen MT" w:hAnsi="Tw Cen MT"/>
                <w:i/>
              </w:rPr>
            </w:pPr>
          </w:p>
        </w:tc>
        <w:tc>
          <w:tcPr>
            <w:tcW w:w="5310" w:type="dxa"/>
          </w:tcPr>
          <w:p w:rsidR="00982BF6" w:rsidRPr="00813375" w:rsidRDefault="00982BF6" w:rsidP="00982BF6">
            <w:pPr>
              <w:rPr>
                <w:rFonts w:ascii="Tw Cen MT" w:hAnsi="Tw Cen MT"/>
              </w:rPr>
            </w:pPr>
            <w:r w:rsidRPr="00982BF6">
              <w:rPr>
                <w:rFonts w:ascii="Tw Cen MT" w:hAnsi="Tw Cen MT"/>
              </w:rPr>
              <w:t>Gains student attention before initiating instruction</w:t>
            </w:r>
          </w:p>
        </w:tc>
        <w:tc>
          <w:tcPr>
            <w:tcW w:w="5418" w:type="dxa"/>
            <w:vMerge/>
          </w:tcPr>
          <w:p w:rsidR="00982BF6" w:rsidRDefault="00982BF6" w:rsidP="00813375">
            <w:pPr>
              <w:rPr>
                <w:rFonts w:ascii="Tw Cen MT" w:hAnsi="Tw Cen MT"/>
                <w:i/>
              </w:rPr>
            </w:pPr>
          </w:p>
        </w:tc>
      </w:tr>
      <w:tr w:rsidR="00982BF6" w:rsidTr="00813375">
        <w:tc>
          <w:tcPr>
            <w:tcW w:w="288" w:type="dxa"/>
          </w:tcPr>
          <w:p w:rsidR="00982BF6" w:rsidRDefault="00982BF6" w:rsidP="00813375">
            <w:pPr>
              <w:rPr>
                <w:rFonts w:ascii="Tw Cen MT" w:hAnsi="Tw Cen MT"/>
                <w:i/>
              </w:rPr>
            </w:pPr>
          </w:p>
        </w:tc>
        <w:tc>
          <w:tcPr>
            <w:tcW w:w="5310" w:type="dxa"/>
          </w:tcPr>
          <w:p w:rsidR="00982BF6" w:rsidRPr="00813375" w:rsidRDefault="00982BF6" w:rsidP="00982BF6">
            <w:pPr>
              <w:rPr>
                <w:rFonts w:ascii="Tw Cen MT" w:hAnsi="Tw Cen MT"/>
              </w:rPr>
            </w:pPr>
            <w:r w:rsidRPr="00982BF6">
              <w:rPr>
                <w:rFonts w:ascii="Tw Cen MT" w:hAnsi="Tw Cen MT"/>
              </w:rPr>
              <w:t>Paces lesson to maintain attention</w:t>
            </w:r>
          </w:p>
        </w:tc>
        <w:tc>
          <w:tcPr>
            <w:tcW w:w="5418" w:type="dxa"/>
            <w:vMerge/>
          </w:tcPr>
          <w:p w:rsidR="00982BF6" w:rsidRDefault="00982BF6" w:rsidP="00813375">
            <w:pPr>
              <w:rPr>
                <w:rFonts w:ascii="Tw Cen MT" w:hAnsi="Tw Cen MT"/>
                <w:i/>
              </w:rPr>
            </w:pPr>
          </w:p>
        </w:tc>
      </w:tr>
      <w:tr w:rsidR="00982BF6" w:rsidTr="00813375">
        <w:tc>
          <w:tcPr>
            <w:tcW w:w="288" w:type="dxa"/>
          </w:tcPr>
          <w:p w:rsidR="00982BF6" w:rsidRDefault="00982BF6" w:rsidP="00813375">
            <w:pPr>
              <w:rPr>
                <w:rFonts w:ascii="Tw Cen MT" w:hAnsi="Tw Cen MT"/>
                <w:i/>
              </w:rPr>
            </w:pPr>
          </w:p>
        </w:tc>
        <w:tc>
          <w:tcPr>
            <w:tcW w:w="5310" w:type="dxa"/>
          </w:tcPr>
          <w:p w:rsidR="00982BF6" w:rsidRPr="00813375" w:rsidRDefault="00982BF6" w:rsidP="00982BF6">
            <w:pPr>
              <w:rPr>
                <w:rFonts w:ascii="Tw Cen MT" w:hAnsi="Tw Cen MT"/>
              </w:rPr>
            </w:pPr>
            <w:r w:rsidRPr="00982BF6">
              <w:rPr>
                <w:rFonts w:ascii="Tw Cen MT" w:hAnsi="Tw Cen MT"/>
              </w:rPr>
              <w:t>Maintains close proximity to students</w:t>
            </w:r>
          </w:p>
        </w:tc>
        <w:tc>
          <w:tcPr>
            <w:tcW w:w="5418" w:type="dxa"/>
            <w:vMerge/>
          </w:tcPr>
          <w:p w:rsidR="00982BF6" w:rsidRDefault="00982BF6" w:rsidP="00813375">
            <w:pPr>
              <w:rPr>
                <w:rFonts w:ascii="Tw Cen MT" w:hAnsi="Tw Cen MT"/>
                <w:i/>
              </w:rPr>
            </w:pPr>
          </w:p>
        </w:tc>
      </w:tr>
      <w:tr w:rsidR="00982BF6" w:rsidTr="00813375">
        <w:tc>
          <w:tcPr>
            <w:tcW w:w="288" w:type="dxa"/>
          </w:tcPr>
          <w:p w:rsidR="00982BF6" w:rsidRDefault="00982BF6" w:rsidP="00813375">
            <w:pPr>
              <w:rPr>
                <w:rFonts w:ascii="Tw Cen MT" w:hAnsi="Tw Cen MT"/>
                <w:i/>
              </w:rPr>
            </w:pPr>
          </w:p>
        </w:tc>
        <w:tc>
          <w:tcPr>
            <w:tcW w:w="5310" w:type="dxa"/>
          </w:tcPr>
          <w:p w:rsidR="00982BF6" w:rsidRPr="00813375" w:rsidRDefault="00982BF6" w:rsidP="00982BF6">
            <w:pPr>
              <w:rPr>
                <w:rFonts w:ascii="Tw Cen MT" w:hAnsi="Tw Cen MT"/>
              </w:rPr>
            </w:pPr>
            <w:r w:rsidRPr="00982BF6">
              <w:rPr>
                <w:rFonts w:ascii="Tw Cen MT" w:hAnsi="Tw Cen MT"/>
              </w:rPr>
              <w:t>Transitions fluidly between tasks</w:t>
            </w:r>
          </w:p>
        </w:tc>
        <w:tc>
          <w:tcPr>
            <w:tcW w:w="5418" w:type="dxa"/>
            <w:vMerge/>
          </w:tcPr>
          <w:p w:rsidR="00982BF6" w:rsidRDefault="00982BF6" w:rsidP="00813375">
            <w:pPr>
              <w:rPr>
                <w:rFonts w:ascii="Tw Cen MT" w:hAnsi="Tw Cen MT"/>
                <w:i/>
              </w:rPr>
            </w:pPr>
          </w:p>
        </w:tc>
      </w:tr>
      <w:tr w:rsidR="00982BF6" w:rsidTr="00813375">
        <w:tc>
          <w:tcPr>
            <w:tcW w:w="288" w:type="dxa"/>
          </w:tcPr>
          <w:p w:rsidR="00982BF6" w:rsidRDefault="00982BF6" w:rsidP="00813375">
            <w:pPr>
              <w:rPr>
                <w:rFonts w:ascii="Tw Cen MT" w:hAnsi="Tw Cen MT"/>
                <w:i/>
              </w:rPr>
            </w:pPr>
          </w:p>
        </w:tc>
        <w:tc>
          <w:tcPr>
            <w:tcW w:w="5310" w:type="dxa"/>
          </w:tcPr>
          <w:p w:rsidR="00982BF6" w:rsidRPr="00982BF6" w:rsidRDefault="00982BF6" w:rsidP="00982BF6">
            <w:pPr>
              <w:rPr>
                <w:rFonts w:ascii="Tw Cen MT" w:hAnsi="Tw Cen MT"/>
              </w:rPr>
            </w:pPr>
            <w:r w:rsidRPr="00982BF6">
              <w:rPr>
                <w:rFonts w:ascii="Tw Cen MT" w:hAnsi="Tw Cen MT"/>
              </w:rPr>
              <w:t>Intervenes with off-task students to maintain their focus</w:t>
            </w:r>
          </w:p>
        </w:tc>
        <w:tc>
          <w:tcPr>
            <w:tcW w:w="5418" w:type="dxa"/>
            <w:vMerge/>
          </w:tcPr>
          <w:p w:rsidR="00982BF6" w:rsidRDefault="00982BF6" w:rsidP="00813375">
            <w:pPr>
              <w:rPr>
                <w:rFonts w:ascii="Tw Cen MT" w:hAnsi="Tw Cen MT"/>
                <w:i/>
              </w:rPr>
            </w:pPr>
          </w:p>
        </w:tc>
      </w:tr>
      <w:tr w:rsidR="00982BF6" w:rsidTr="00813375">
        <w:tc>
          <w:tcPr>
            <w:tcW w:w="288" w:type="dxa"/>
          </w:tcPr>
          <w:p w:rsidR="00982BF6" w:rsidRDefault="00982BF6" w:rsidP="00813375">
            <w:pPr>
              <w:rPr>
                <w:rFonts w:ascii="Tw Cen MT" w:hAnsi="Tw Cen MT"/>
                <w:i/>
              </w:rPr>
            </w:pPr>
          </w:p>
        </w:tc>
        <w:tc>
          <w:tcPr>
            <w:tcW w:w="5310" w:type="dxa"/>
          </w:tcPr>
          <w:p w:rsidR="00982BF6" w:rsidRPr="00982BF6" w:rsidRDefault="00982BF6" w:rsidP="00982BF6">
            <w:pPr>
              <w:rPr>
                <w:rFonts w:ascii="Tw Cen MT" w:hAnsi="Tw Cen MT"/>
              </w:rPr>
            </w:pPr>
            <w:r w:rsidRPr="00982BF6">
              <w:rPr>
                <w:rFonts w:ascii="Tw Cen MT" w:hAnsi="Tw Cen MT"/>
              </w:rPr>
              <w:t>Constructive relationships are apparent</w:t>
            </w:r>
          </w:p>
        </w:tc>
        <w:tc>
          <w:tcPr>
            <w:tcW w:w="5418" w:type="dxa"/>
            <w:vMerge/>
          </w:tcPr>
          <w:p w:rsidR="00982BF6" w:rsidRDefault="00982BF6" w:rsidP="00813375">
            <w:pPr>
              <w:rPr>
                <w:rFonts w:ascii="Tw Cen MT" w:hAnsi="Tw Cen MT"/>
                <w:i/>
              </w:rPr>
            </w:pPr>
          </w:p>
        </w:tc>
      </w:tr>
    </w:tbl>
    <w:p w:rsidR="00813375" w:rsidRDefault="00813375" w:rsidP="00813375">
      <w:pPr>
        <w:rPr>
          <w:rFonts w:ascii="Tw Cen MT" w:hAnsi="Tw Cen MT"/>
          <w:i/>
        </w:rPr>
      </w:pPr>
    </w:p>
    <w:tbl>
      <w:tblPr>
        <w:tblStyle w:val="TableGrid"/>
        <w:tblW w:w="0" w:type="auto"/>
        <w:tblLook w:val="04A0" w:firstRow="1" w:lastRow="0" w:firstColumn="1" w:lastColumn="0" w:noHBand="0" w:noVBand="1"/>
      </w:tblPr>
      <w:tblGrid>
        <w:gridCol w:w="288"/>
        <w:gridCol w:w="5310"/>
        <w:gridCol w:w="5418"/>
      </w:tblGrid>
      <w:tr w:rsidR="00813375" w:rsidTr="00982BF6">
        <w:trPr>
          <w:trHeight w:val="458"/>
        </w:trPr>
        <w:tc>
          <w:tcPr>
            <w:tcW w:w="288" w:type="dxa"/>
            <w:shd w:val="clear" w:color="auto" w:fill="CCFFCC"/>
          </w:tcPr>
          <w:p w:rsidR="00813375" w:rsidRPr="003B5EDD" w:rsidRDefault="00813375" w:rsidP="00813375">
            <w:pPr>
              <w:rPr>
                <w:rFonts w:ascii="Tw Cen MT" w:hAnsi="Tw Cen MT"/>
                <w:b/>
              </w:rPr>
            </w:pPr>
          </w:p>
        </w:tc>
        <w:tc>
          <w:tcPr>
            <w:tcW w:w="5310" w:type="dxa"/>
          </w:tcPr>
          <w:p w:rsidR="00813375" w:rsidRPr="00813375" w:rsidRDefault="00982BF6" w:rsidP="00813375">
            <w:pPr>
              <w:rPr>
                <w:rFonts w:ascii="Tw Cen MT" w:hAnsi="Tw Cen MT"/>
                <w:b/>
              </w:rPr>
            </w:pPr>
            <w:r w:rsidRPr="00AA73B9">
              <w:rPr>
                <w:rFonts w:ascii="Tw Cen MT" w:hAnsi="Tw Cen MT"/>
                <w:b/>
              </w:rPr>
              <w:t>Instructor provides corrective and encouraging feedback to learners (</w:t>
            </w:r>
            <w:r>
              <w:rPr>
                <w:rFonts w:ascii="Tw Cen MT" w:hAnsi="Tw Cen MT"/>
                <w:b/>
              </w:rPr>
              <w:t xml:space="preserve">CPAST </w:t>
            </w:r>
            <w:proofErr w:type="spellStart"/>
            <w:r>
              <w:rPr>
                <w:rFonts w:ascii="Tw Cen MT" w:hAnsi="Tw Cen MT"/>
                <w:b/>
              </w:rPr>
              <w:t>ped</w:t>
            </w:r>
            <w:proofErr w:type="spellEnd"/>
            <w:r>
              <w:rPr>
                <w:rFonts w:ascii="Tw Cen MT" w:hAnsi="Tw Cen MT"/>
                <w:b/>
              </w:rPr>
              <w:t xml:space="preserve">. </w:t>
            </w:r>
            <w:r w:rsidRPr="00AA73B9">
              <w:rPr>
                <w:rFonts w:ascii="Tw Cen MT" w:hAnsi="Tw Cen MT"/>
                <w:b/>
              </w:rPr>
              <w:t>K)</w:t>
            </w:r>
          </w:p>
        </w:tc>
        <w:tc>
          <w:tcPr>
            <w:tcW w:w="5418" w:type="dxa"/>
            <w:vMerge w:val="restart"/>
          </w:tcPr>
          <w:p w:rsidR="00F64DFB" w:rsidRDefault="00F64DFB" w:rsidP="00813375">
            <w:pPr>
              <w:rPr>
                <w:rFonts w:ascii="Tw Cen MT" w:hAnsi="Tw Cen MT"/>
                <w:i/>
              </w:rPr>
            </w:pPr>
            <w:r>
              <w:rPr>
                <w:rFonts w:ascii="Tw Cen MT" w:hAnsi="Tw Cen MT"/>
                <w:i/>
              </w:rPr>
              <w:t>.</w:t>
            </w:r>
            <w:r w:rsidR="00982BF6">
              <w:rPr>
                <w:rFonts w:ascii="Tw Cen MT" w:hAnsi="Tw Cen MT"/>
                <w:i/>
              </w:rPr>
              <w:t>Evidence to support</w:t>
            </w:r>
            <w:r>
              <w:rPr>
                <w:rFonts w:ascii="Tw Cen MT" w:hAnsi="Tw Cen MT"/>
                <w:i/>
              </w:rPr>
              <w:t xml:space="preserve"> rating</w:t>
            </w:r>
          </w:p>
          <w:p w:rsidR="00694E82" w:rsidRDefault="00982BF6" w:rsidP="00694E82">
            <w:pPr>
              <w:rPr>
                <w:rFonts w:ascii="Tw Cen MT" w:hAnsi="Tw Cen MT"/>
                <w:i/>
              </w:rPr>
            </w:pPr>
            <w:r w:rsidRPr="00F64DFB">
              <w:rPr>
                <w:rFonts w:ascii="Tw Cen MT" w:hAnsi="Tw Cen MT"/>
              </w:rPr>
              <w:t xml:space="preserve"> </w:t>
            </w:r>
          </w:p>
          <w:p w:rsidR="00F64DFB" w:rsidRDefault="00F64DFB" w:rsidP="00F64DFB">
            <w:pPr>
              <w:rPr>
                <w:rFonts w:ascii="Tw Cen MT" w:hAnsi="Tw Cen MT"/>
                <w:i/>
              </w:rPr>
            </w:pPr>
          </w:p>
        </w:tc>
      </w:tr>
      <w:tr w:rsidR="00813375" w:rsidTr="00813375">
        <w:tc>
          <w:tcPr>
            <w:tcW w:w="288" w:type="dxa"/>
          </w:tcPr>
          <w:p w:rsidR="00813375" w:rsidRDefault="00813375" w:rsidP="00813375">
            <w:pPr>
              <w:rPr>
                <w:rFonts w:ascii="Tw Cen MT" w:hAnsi="Tw Cen MT"/>
                <w:i/>
              </w:rPr>
            </w:pPr>
          </w:p>
        </w:tc>
        <w:tc>
          <w:tcPr>
            <w:tcW w:w="5310" w:type="dxa"/>
          </w:tcPr>
          <w:p w:rsidR="00813375" w:rsidRPr="00982BF6" w:rsidRDefault="00982BF6" w:rsidP="00982BF6">
            <w:pPr>
              <w:rPr>
                <w:rFonts w:ascii="Tw Cen MT" w:hAnsi="Tw Cen MT"/>
              </w:rPr>
            </w:pPr>
            <w:r w:rsidRPr="00982BF6">
              <w:rPr>
                <w:rFonts w:ascii="Tw Cen MT" w:hAnsi="Tw Cen MT"/>
              </w:rPr>
              <w:t>Provides affirmations for correct responses</w:t>
            </w:r>
          </w:p>
        </w:tc>
        <w:tc>
          <w:tcPr>
            <w:tcW w:w="5418" w:type="dxa"/>
            <w:vMerge/>
          </w:tcPr>
          <w:p w:rsidR="00813375" w:rsidRDefault="00813375" w:rsidP="00813375">
            <w:pPr>
              <w:rPr>
                <w:rFonts w:ascii="Tw Cen MT" w:hAnsi="Tw Cen MT"/>
                <w:i/>
              </w:rPr>
            </w:pPr>
          </w:p>
        </w:tc>
      </w:tr>
      <w:tr w:rsidR="00813375" w:rsidTr="00813375">
        <w:tc>
          <w:tcPr>
            <w:tcW w:w="288" w:type="dxa"/>
          </w:tcPr>
          <w:p w:rsidR="00813375" w:rsidRDefault="00813375" w:rsidP="00813375">
            <w:pPr>
              <w:rPr>
                <w:rFonts w:ascii="Tw Cen MT" w:hAnsi="Tw Cen MT"/>
                <w:i/>
              </w:rPr>
            </w:pPr>
          </w:p>
        </w:tc>
        <w:tc>
          <w:tcPr>
            <w:tcW w:w="5310" w:type="dxa"/>
          </w:tcPr>
          <w:p w:rsidR="00813375" w:rsidRPr="00982BF6" w:rsidRDefault="00982BF6" w:rsidP="00982BF6">
            <w:pPr>
              <w:rPr>
                <w:rFonts w:ascii="Tw Cen MT" w:hAnsi="Tw Cen MT"/>
              </w:rPr>
            </w:pPr>
            <w:r w:rsidRPr="00982BF6">
              <w:rPr>
                <w:rFonts w:ascii="Tw Cen MT" w:hAnsi="Tw Cen MT"/>
              </w:rPr>
              <w:t>Corrects errors guiding learners toward correct answers</w:t>
            </w:r>
          </w:p>
        </w:tc>
        <w:tc>
          <w:tcPr>
            <w:tcW w:w="5418" w:type="dxa"/>
            <w:vMerge/>
          </w:tcPr>
          <w:p w:rsidR="00813375" w:rsidRDefault="00813375" w:rsidP="00813375">
            <w:pPr>
              <w:rPr>
                <w:rFonts w:ascii="Tw Cen MT" w:hAnsi="Tw Cen MT"/>
                <w:i/>
              </w:rPr>
            </w:pPr>
          </w:p>
        </w:tc>
      </w:tr>
      <w:tr w:rsidR="00813375" w:rsidTr="00813375">
        <w:tc>
          <w:tcPr>
            <w:tcW w:w="288" w:type="dxa"/>
          </w:tcPr>
          <w:p w:rsidR="00813375" w:rsidRDefault="00813375" w:rsidP="00813375">
            <w:pPr>
              <w:rPr>
                <w:rFonts w:ascii="Tw Cen MT" w:hAnsi="Tw Cen MT"/>
                <w:i/>
              </w:rPr>
            </w:pPr>
          </w:p>
        </w:tc>
        <w:tc>
          <w:tcPr>
            <w:tcW w:w="5310" w:type="dxa"/>
          </w:tcPr>
          <w:p w:rsidR="00813375" w:rsidRPr="00982BF6" w:rsidRDefault="00982BF6" w:rsidP="00982BF6">
            <w:pPr>
              <w:rPr>
                <w:rFonts w:ascii="Tw Cen MT" w:hAnsi="Tw Cen MT"/>
              </w:rPr>
            </w:pPr>
            <w:r w:rsidRPr="00982BF6">
              <w:rPr>
                <w:rFonts w:ascii="Tw Cen MT" w:hAnsi="Tw Cen MT"/>
              </w:rPr>
              <w:t>Limits corrective feedback to task at hand</w:t>
            </w:r>
          </w:p>
        </w:tc>
        <w:tc>
          <w:tcPr>
            <w:tcW w:w="5418" w:type="dxa"/>
            <w:vMerge/>
          </w:tcPr>
          <w:p w:rsidR="00813375" w:rsidRDefault="00813375" w:rsidP="00813375">
            <w:pPr>
              <w:rPr>
                <w:rFonts w:ascii="Tw Cen MT" w:hAnsi="Tw Cen MT"/>
                <w:i/>
              </w:rPr>
            </w:pPr>
          </w:p>
        </w:tc>
      </w:tr>
      <w:tr w:rsidR="00813375" w:rsidTr="00813375">
        <w:tc>
          <w:tcPr>
            <w:tcW w:w="288" w:type="dxa"/>
          </w:tcPr>
          <w:p w:rsidR="00813375" w:rsidRDefault="00813375" w:rsidP="00813375">
            <w:pPr>
              <w:rPr>
                <w:rFonts w:ascii="Tw Cen MT" w:hAnsi="Tw Cen MT"/>
                <w:i/>
              </w:rPr>
            </w:pPr>
          </w:p>
        </w:tc>
        <w:tc>
          <w:tcPr>
            <w:tcW w:w="5310" w:type="dxa"/>
          </w:tcPr>
          <w:p w:rsidR="00813375" w:rsidRPr="00982BF6" w:rsidRDefault="00982BF6" w:rsidP="00982BF6">
            <w:pPr>
              <w:rPr>
                <w:rFonts w:ascii="Tw Cen MT" w:hAnsi="Tw Cen MT"/>
              </w:rPr>
            </w:pPr>
            <w:r w:rsidRPr="00982BF6">
              <w:rPr>
                <w:rFonts w:ascii="Tw Cen MT" w:hAnsi="Tw Cen MT"/>
              </w:rPr>
              <w:t>Provides feedback during and after task completion</w:t>
            </w:r>
          </w:p>
        </w:tc>
        <w:tc>
          <w:tcPr>
            <w:tcW w:w="5418" w:type="dxa"/>
            <w:vMerge/>
          </w:tcPr>
          <w:p w:rsidR="00813375" w:rsidRDefault="00813375" w:rsidP="00813375">
            <w:pPr>
              <w:rPr>
                <w:rFonts w:ascii="Tw Cen MT" w:hAnsi="Tw Cen MT"/>
                <w:i/>
              </w:rPr>
            </w:pPr>
          </w:p>
        </w:tc>
      </w:tr>
      <w:tr w:rsidR="00813375" w:rsidTr="00813375">
        <w:tc>
          <w:tcPr>
            <w:tcW w:w="288" w:type="dxa"/>
          </w:tcPr>
          <w:p w:rsidR="00813375" w:rsidRDefault="00813375" w:rsidP="00813375">
            <w:pPr>
              <w:rPr>
                <w:rFonts w:ascii="Tw Cen MT" w:hAnsi="Tw Cen MT"/>
                <w:i/>
              </w:rPr>
            </w:pPr>
          </w:p>
        </w:tc>
        <w:tc>
          <w:tcPr>
            <w:tcW w:w="5310" w:type="dxa"/>
          </w:tcPr>
          <w:p w:rsidR="00813375" w:rsidRPr="00982BF6" w:rsidRDefault="00982BF6" w:rsidP="00982BF6">
            <w:pPr>
              <w:rPr>
                <w:rFonts w:ascii="Tw Cen MT" w:hAnsi="Tw Cen MT"/>
              </w:rPr>
            </w:pPr>
            <w:r w:rsidRPr="00982BF6">
              <w:rPr>
                <w:rFonts w:ascii="Tw Cen MT" w:hAnsi="Tw Cen MT"/>
              </w:rPr>
              <w:t>Provides specific feedback about student’s accuracies and inaccuracies</w:t>
            </w:r>
          </w:p>
        </w:tc>
        <w:tc>
          <w:tcPr>
            <w:tcW w:w="5418" w:type="dxa"/>
            <w:vMerge/>
          </w:tcPr>
          <w:p w:rsidR="00813375" w:rsidRDefault="00813375" w:rsidP="00813375">
            <w:pPr>
              <w:rPr>
                <w:rFonts w:ascii="Tw Cen MT" w:hAnsi="Tw Cen MT"/>
                <w:i/>
              </w:rPr>
            </w:pPr>
          </w:p>
        </w:tc>
      </w:tr>
    </w:tbl>
    <w:p w:rsidR="00253FE7" w:rsidRDefault="00253FE7"/>
    <w:p w:rsidR="00425A97" w:rsidRDefault="00425A97">
      <w:pPr>
        <w:rPr>
          <w:b/>
          <w:u w:val="single"/>
        </w:rPr>
      </w:pPr>
      <w:r w:rsidRPr="00425A97">
        <w:rPr>
          <w:b/>
          <w:u w:val="single"/>
        </w:rPr>
        <w:t xml:space="preserve">Additional Comments: </w:t>
      </w:r>
    </w:p>
    <w:p w:rsidR="00425A97" w:rsidRPr="00425A97" w:rsidRDefault="00425A97">
      <w:pPr>
        <w:rPr>
          <w:b/>
          <w:u w:val="single"/>
        </w:rPr>
      </w:pPr>
    </w:p>
    <w:sectPr w:rsidR="00425A97" w:rsidRPr="00425A97" w:rsidSect="00982B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1E" w:rsidRDefault="00633B1E" w:rsidP="00425A97">
      <w:r>
        <w:separator/>
      </w:r>
    </w:p>
  </w:endnote>
  <w:endnote w:type="continuationSeparator" w:id="0">
    <w:p w:rsidR="00633B1E" w:rsidRDefault="00633B1E" w:rsidP="0042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1E" w:rsidRDefault="00633B1E" w:rsidP="00425A97">
      <w:r>
        <w:separator/>
      </w:r>
    </w:p>
  </w:footnote>
  <w:footnote w:type="continuationSeparator" w:id="0">
    <w:p w:rsidR="00633B1E" w:rsidRDefault="00633B1E" w:rsidP="00425A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2B5"/>
    <w:multiLevelType w:val="hybridMultilevel"/>
    <w:tmpl w:val="1750AD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F5380"/>
    <w:multiLevelType w:val="hybridMultilevel"/>
    <w:tmpl w:val="442490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E5335"/>
    <w:multiLevelType w:val="hybridMultilevel"/>
    <w:tmpl w:val="A86837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AD49DA"/>
    <w:multiLevelType w:val="hybridMultilevel"/>
    <w:tmpl w:val="C950B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947FD"/>
    <w:multiLevelType w:val="hybridMultilevel"/>
    <w:tmpl w:val="EA8EF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120E6"/>
    <w:multiLevelType w:val="hybridMultilevel"/>
    <w:tmpl w:val="B6EABE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75"/>
    <w:rsid w:val="00185A6B"/>
    <w:rsid w:val="00253FE7"/>
    <w:rsid w:val="002615E1"/>
    <w:rsid w:val="00425A97"/>
    <w:rsid w:val="005B55CD"/>
    <w:rsid w:val="00633B1E"/>
    <w:rsid w:val="00694E82"/>
    <w:rsid w:val="00813375"/>
    <w:rsid w:val="008F4294"/>
    <w:rsid w:val="0096471E"/>
    <w:rsid w:val="00982BF6"/>
    <w:rsid w:val="00B32B34"/>
    <w:rsid w:val="00B53DF9"/>
    <w:rsid w:val="00C00D64"/>
    <w:rsid w:val="00C35970"/>
    <w:rsid w:val="00C801F6"/>
    <w:rsid w:val="00CA1009"/>
    <w:rsid w:val="00D20CEC"/>
    <w:rsid w:val="00EA37BA"/>
    <w:rsid w:val="00F07A6E"/>
    <w:rsid w:val="00F55AFE"/>
    <w:rsid w:val="00F6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72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375"/>
    <w:pPr>
      <w:ind w:left="720"/>
      <w:contextualSpacing/>
    </w:pPr>
  </w:style>
  <w:style w:type="paragraph" w:styleId="FootnoteText">
    <w:name w:val="footnote text"/>
    <w:basedOn w:val="Normal"/>
    <w:link w:val="FootnoteTextChar"/>
    <w:uiPriority w:val="99"/>
    <w:unhideWhenUsed/>
    <w:rsid w:val="00425A97"/>
  </w:style>
  <w:style w:type="character" w:customStyle="1" w:styleId="FootnoteTextChar">
    <w:name w:val="Footnote Text Char"/>
    <w:basedOn w:val="DefaultParagraphFont"/>
    <w:link w:val="FootnoteText"/>
    <w:uiPriority w:val="99"/>
    <w:rsid w:val="00425A97"/>
  </w:style>
  <w:style w:type="character" w:styleId="FootnoteReference">
    <w:name w:val="footnote reference"/>
    <w:basedOn w:val="DefaultParagraphFont"/>
    <w:uiPriority w:val="99"/>
    <w:unhideWhenUsed/>
    <w:rsid w:val="00425A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3375"/>
    <w:pPr>
      <w:ind w:left="720"/>
      <w:contextualSpacing/>
    </w:pPr>
  </w:style>
  <w:style w:type="paragraph" w:styleId="FootnoteText">
    <w:name w:val="footnote text"/>
    <w:basedOn w:val="Normal"/>
    <w:link w:val="FootnoteTextChar"/>
    <w:uiPriority w:val="99"/>
    <w:unhideWhenUsed/>
    <w:rsid w:val="00425A97"/>
  </w:style>
  <w:style w:type="character" w:customStyle="1" w:styleId="FootnoteTextChar">
    <w:name w:val="Footnote Text Char"/>
    <w:basedOn w:val="DefaultParagraphFont"/>
    <w:link w:val="FootnoteText"/>
    <w:uiPriority w:val="99"/>
    <w:rsid w:val="00425A97"/>
  </w:style>
  <w:style w:type="character" w:styleId="FootnoteReference">
    <w:name w:val="footnote reference"/>
    <w:basedOn w:val="DefaultParagraphFont"/>
    <w:uiPriority w:val="99"/>
    <w:unhideWhenUsed/>
    <w:rsid w:val="00425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7FDB-65E0-C043-B6DE-6D34641F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Andrew J Maruk</cp:lastModifiedBy>
  <cp:revision>2</cp:revision>
  <cp:lastPrinted>2016-08-12T13:37:00Z</cp:lastPrinted>
  <dcterms:created xsi:type="dcterms:W3CDTF">2016-12-05T16:12:00Z</dcterms:created>
  <dcterms:modified xsi:type="dcterms:W3CDTF">2016-12-05T16:12:00Z</dcterms:modified>
</cp:coreProperties>
</file>